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8C48" w14:textId="5FBD74ED" w:rsidR="00354965" w:rsidRPr="006E6103" w:rsidRDefault="0C7EDE35" w:rsidP="004132EA">
      <w:pPr>
        <w:spacing w:before="240" w:after="240" w:line="240" w:lineRule="auto"/>
        <w:jc w:val="both"/>
      </w:pPr>
      <w:r>
        <w:t xml:space="preserve">Tisková zpráva – Praha, 14. května 2024 </w:t>
      </w:r>
    </w:p>
    <w:p w14:paraId="26E36BD7" w14:textId="70496E74" w:rsidR="00354965" w:rsidRPr="004132EA" w:rsidRDefault="0C7EDE35" w:rsidP="004132EA">
      <w:pPr>
        <w:spacing w:before="240" w:after="240" w:line="240" w:lineRule="auto"/>
        <w:jc w:val="both"/>
        <w:rPr>
          <w:rFonts w:ascii="Aptos" w:hAnsi="Aptos"/>
          <w:b/>
          <w:bCs/>
          <w:sz w:val="26"/>
          <w:szCs w:val="26"/>
        </w:rPr>
      </w:pPr>
      <w:r w:rsidRPr="0C7EDE35">
        <w:rPr>
          <w:rFonts w:ascii="Aptos" w:hAnsi="Aptos"/>
          <w:b/>
          <w:bCs/>
          <w:sz w:val="26"/>
          <w:szCs w:val="26"/>
        </w:rPr>
        <w:t xml:space="preserve">Třetina Čechů má nízkou úroveň finanční gramotnosti. 80 % populace si ale </w:t>
      </w:r>
      <w:proofErr w:type="gramStart"/>
      <w:r w:rsidRPr="0C7EDE35">
        <w:rPr>
          <w:rFonts w:ascii="Aptos" w:hAnsi="Aptos"/>
          <w:b/>
          <w:bCs/>
          <w:sz w:val="26"/>
          <w:szCs w:val="26"/>
        </w:rPr>
        <w:t>věří</w:t>
      </w:r>
      <w:proofErr w:type="gramEnd"/>
      <w:r w:rsidRPr="0C7EDE35">
        <w:rPr>
          <w:rFonts w:ascii="Aptos" w:hAnsi="Aptos"/>
          <w:b/>
          <w:bCs/>
          <w:sz w:val="26"/>
          <w:szCs w:val="26"/>
        </w:rPr>
        <w:t>, že dokáže odhalit finanční podvod v online prostředí</w:t>
      </w:r>
    </w:p>
    <w:p w14:paraId="6E370A7F" w14:textId="4C1F5B7D" w:rsidR="00354965" w:rsidRPr="004132EA" w:rsidRDefault="0C7EDE35" w:rsidP="004132EA">
      <w:pPr>
        <w:spacing w:before="240" w:after="240" w:line="240" w:lineRule="auto"/>
        <w:jc w:val="both"/>
        <w:rPr>
          <w:rFonts w:ascii="Aptos" w:hAnsi="Aptos"/>
          <w:b/>
          <w:bCs/>
          <w:sz w:val="24"/>
          <w:szCs w:val="24"/>
        </w:rPr>
      </w:pPr>
      <w:r w:rsidRPr="0C7EDE35">
        <w:rPr>
          <w:rFonts w:ascii="Aptos" w:hAnsi="Aptos"/>
          <w:b/>
          <w:bCs/>
          <w:sz w:val="24"/>
          <w:szCs w:val="24"/>
        </w:rPr>
        <w:t>Více než polovina Čechů hodnotí svoji finanční gramotnost jako průměrnou, dalších 19 % pak jako nadprůměrnou. Realita však ukazuje něco jiného. Podle průzkumu Indexu prosperity a finančního zdraví Čechů se s nízkou úrovní finanční gramotnost</w:t>
      </w:r>
      <w:r w:rsidR="007E1700">
        <w:rPr>
          <w:rFonts w:ascii="Aptos" w:hAnsi="Aptos"/>
          <w:b/>
          <w:bCs/>
          <w:sz w:val="24"/>
          <w:szCs w:val="24"/>
        </w:rPr>
        <w:t xml:space="preserve">i </w:t>
      </w:r>
      <w:r w:rsidRPr="0C7EDE35">
        <w:rPr>
          <w:rFonts w:ascii="Aptos" w:hAnsi="Aptos"/>
          <w:b/>
          <w:bCs/>
          <w:sz w:val="24"/>
          <w:szCs w:val="24"/>
        </w:rPr>
        <w:t>potýká třetina produktivní populace. Platí to zejména pro ženy, lidi s nižším vzděláním a příjmy. Činí to z nich snadnější oběti finančních podvodů.</w:t>
      </w:r>
    </w:p>
    <w:p w14:paraId="23C9606E" w14:textId="54DA55BF" w:rsidR="004132EA" w:rsidRDefault="00210F79" w:rsidP="004132EA">
      <w:pPr>
        <w:spacing w:before="240" w:after="240" w:line="240" w:lineRule="auto"/>
        <w:jc w:val="both"/>
        <w:rPr>
          <w:rFonts w:ascii="Aptos" w:hAnsi="Aptos"/>
        </w:rPr>
      </w:pPr>
      <w:r>
        <w:rPr>
          <w:rFonts w:ascii="Aptos" w:hAnsi="Aptos"/>
        </w:rPr>
        <w:t>P</w:t>
      </w:r>
      <w:r w:rsidR="0C7EDE35" w:rsidRPr="0C7EDE35">
        <w:rPr>
          <w:rFonts w:ascii="Aptos" w:hAnsi="Aptos"/>
        </w:rPr>
        <w:t>řestože si více než polovina Čechů myslí, že úroveň jejich finanční gramotnosti je minimálně průměrná, realita je jiná. Třetina produktivní populace nedokázala správně odpovědět ani na dvě ze tří testovacích otázek z této oblasti. Správně na všechny otázky odpovědělo jen 27 % Čechů. Vyplývá to z výsledků průzkumu Indexu prosperity a finančního zdraví Čechů. Sběr dat zajistila v</w:t>
      </w:r>
      <w:r w:rsidR="0041534A">
        <w:rPr>
          <w:rFonts w:ascii="Aptos" w:hAnsi="Aptos"/>
        </w:rPr>
        <w:t> </w:t>
      </w:r>
      <w:r w:rsidR="0C7EDE35" w:rsidRPr="0C7EDE35">
        <w:rPr>
          <w:rFonts w:ascii="Aptos" w:hAnsi="Aptos"/>
        </w:rPr>
        <w:t>březn</w:t>
      </w:r>
      <w:r w:rsidR="0041534A">
        <w:rPr>
          <w:rFonts w:ascii="Aptos" w:hAnsi="Aptos"/>
        </w:rPr>
        <w:t>u</w:t>
      </w:r>
      <w:r w:rsidR="0C7EDE35" w:rsidRPr="0C7EDE35">
        <w:rPr>
          <w:rFonts w:ascii="Aptos" w:hAnsi="Aptos"/>
        </w:rPr>
        <w:t xml:space="preserve"> 2024 agentura IPSOS na vzorku 1 520 respondentů ve věku 15–65 let.</w:t>
      </w:r>
    </w:p>
    <w:p w14:paraId="30086DC7" w14:textId="3F5BA977" w:rsidR="004132EA" w:rsidRDefault="004132EA" w:rsidP="004132EA">
      <w:pPr>
        <w:spacing w:before="240" w:after="240" w:line="240" w:lineRule="auto"/>
        <w:jc w:val="both"/>
        <w:rPr>
          <w:rFonts w:ascii="Aptos" w:hAnsi="Aptos"/>
        </w:rPr>
      </w:pPr>
      <w:r w:rsidRPr="004132EA">
        <w:rPr>
          <w:rFonts w:ascii="Aptos" w:hAnsi="Aptos"/>
        </w:rPr>
        <w:t>[</w:t>
      </w:r>
      <w:hyperlink r:id="rId8" w:history="1">
        <w:r w:rsidRPr="004132EA">
          <w:rPr>
            <w:rStyle w:val="Hypertextovodkaz"/>
            <w:rFonts w:ascii="Aptos" w:hAnsi="Aptos"/>
          </w:rPr>
          <w:t>Infografika 1: Jak hodnotí Češi svou finanční gramotnost</w:t>
        </w:r>
      </w:hyperlink>
      <w:r w:rsidRPr="004132EA">
        <w:rPr>
          <w:rFonts w:ascii="Aptos" w:hAnsi="Aptos"/>
        </w:rPr>
        <w:t>]</w:t>
      </w:r>
    </w:p>
    <w:p w14:paraId="6509FC1F" w14:textId="77E2213E" w:rsidR="004132EA" w:rsidRPr="00106E8B" w:rsidRDefault="004132EA" w:rsidP="004132EA">
      <w:pPr>
        <w:spacing w:before="240" w:after="240" w:line="240" w:lineRule="auto"/>
        <w:jc w:val="center"/>
        <w:rPr>
          <w:rFonts w:ascii="Aptos" w:hAnsi="Aptos"/>
        </w:rPr>
      </w:pPr>
      <w:r>
        <w:rPr>
          <w:rFonts w:ascii="Aptos" w:hAnsi="Aptos"/>
          <w:noProof/>
        </w:rPr>
        <w:drawing>
          <wp:inline distT="0" distB="0" distL="0" distR="0" wp14:anchorId="5C7F4743" wp14:editId="69DD715F">
            <wp:extent cx="5317060" cy="2511013"/>
            <wp:effectExtent l="0" t="0" r="4445" b="3810"/>
            <wp:docPr id="341055476" name="Obrázek 1" descr="Obsah obrázku diagram, text, snímek obrazovky,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055476" name="Obrázek 1" descr="Obsah obrázku diagram, text, snímek obrazovky, software&#10;&#10;Popis byl vytvořen automaticky"/>
                    <pic:cNvPicPr/>
                  </pic:nvPicPr>
                  <pic:blipFill>
                    <a:blip r:embed="rId9" cstate="email">
                      <a:extLst>
                        <a:ext uri="{28A0092B-C50C-407E-A947-70E740481C1C}">
                          <a14:useLocalDpi xmlns:a14="http://schemas.microsoft.com/office/drawing/2010/main"/>
                        </a:ext>
                      </a:extLst>
                    </a:blip>
                    <a:stretch>
                      <a:fillRect/>
                    </a:stretch>
                  </pic:blipFill>
                  <pic:spPr>
                    <a:xfrm>
                      <a:off x="0" y="0"/>
                      <a:ext cx="5364685" cy="2533504"/>
                    </a:xfrm>
                    <a:prstGeom prst="rect">
                      <a:avLst/>
                    </a:prstGeom>
                  </pic:spPr>
                </pic:pic>
              </a:graphicData>
            </a:graphic>
          </wp:inline>
        </w:drawing>
      </w:r>
    </w:p>
    <w:p w14:paraId="1CFD387E" w14:textId="392247BA" w:rsidR="00354965" w:rsidRPr="00106E8B" w:rsidRDefault="0C7EDE35" w:rsidP="004132EA">
      <w:pPr>
        <w:spacing w:before="240" w:after="240" w:line="240" w:lineRule="auto"/>
        <w:jc w:val="both"/>
        <w:rPr>
          <w:rFonts w:ascii="Aptos" w:hAnsi="Aptos"/>
        </w:rPr>
      </w:pPr>
      <w:r w:rsidRPr="0C7EDE35">
        <w:rPr>
          <w:rFonts w:ascii="Aptos" w:hAnsi="Aptos"/>
        </w:rPr>
        <w:t xml:space="preserve">V mezinárodním srovnání </w:t>
      </w:r>
      <w:hyperlink r:id="rId10">
        <w:proofErr w:type="spellStart"/>
        <w:r w:rsidRPr="0C7EDE35">
          <w:rPr>
            <w:rFonts w:ascii="Aptos" w:hAnsi="Aptos"/>
            <w:color w:val="1155CC"/>
            <w:u w:val="single"/>
          </w:rPr>
          <w:t>Eurobarometeru</w:t>
        </w:r>
        <w:proofErr w:type="spellEnd"/>
      </w:hyperlink>
      <w:r w:rsidRPr="0C7EDE35">
        <w:rPr>
          <w:rFonts w:ascii="Aptos" w:hAnsi="Aptos"/>
        </w:rPr>
        <w:t>, který hodnotí finanční gramotnost</w:t>
      </w:r>
      <w:r w:rsidR="00E56694">
        <w:rPr>
          <w:rFonts w:ascii="Aptos" w:hAnsi="Aptos"/>
        </w:rPr>
        <w:t>,</w:t>
      </w:r>
      <w:r w:rsidRPr="0C7EDE35">
        <w:rPr>
          <w:rFonts w:ascii="Aptos" w:hAnsi="Aptos"/>
        </w:rPr>
        <w:t xml:space="preserve"> si Česko stojí průměrně. Nejlepších výsledků dosáhli obyvatelé Nizozemska, Finska či Dánska, opačn</w:t>
      </w:r>
      <w:r w:rsidR="00E56694">
        <w:rPr>
          <w:rFonts w:ascii="Aptos" w:hAnsi="Aptos"/>
        </w:rPr>
        <w:t>ý</w:t>
      </w:r>
      <w:r w:rsidRPr="0C7EDE35">
        <w:rPr>
          <w:rFonts w:ascii="Aptos" w:hAnsi="Aptos"/>
        </w:rPr>
        <w:t xml:space="preserve"> </w:t>
      </w:r>
      <w:r w:rsidR="00E56694">
        <w:rPr>
          <w:rFonts w:ascii="Aptos" w:hAnsi="Aptos"/>
        </w:rPr>
        <w:t>konec</w:t>
      </w:r>
      <w:r w:rsidR="00E56694" w:rsidRPr="0C7EDE35">
        <w:rPr>
          <w:rFonts w:ascii="Aptos" w:hAnsi="Aptos"/>
        </w:rPr>
        <w:t xml:space="preserve"> </w:t>
      </w:r>
      <w:r w:rsidRPr="0C7EDE35">
        <w:rPr>
          <w:rFonts w:ascii="Aptos" w:hAnsi="Aptos"/>
        </w:rPr>
        <w:t xml:space="preserve">žebříčku pak </w:t>
      </w:r>
      <w:r w:rsidR="00E56694">
        <w:rPr>
          <w:rFonts w:ascii="Aptos" w:hAnsi="Aptos"/>
        </w:rPr>
        <w:t>obsadilo</w:t>
      </w:r>
      <w:r w:rsidR="00E56694" w:rsidRPr="0C7EDE35">
        <w:rPr>
          <w:rFonts w:ascii="Aptos" w:hAnsi="Aptos"/>
        </w:rPr>
        <w:t xml:space="preserve"> </w:t>
      </w:r>
      <w:r w:rsidRPr="0C7EDE35">
        <w:rPr>
          <w:rFonts w:ascii="Aptos" w:hAnsi="Aptos"/>
        </w:rPr>
        <w:t>Rumunsko, Portugalsko, Kypr nebo Španělsko.</w:t>
      </w:r>
    </w:p>
    <w:p w14:paraId="396CFA36" w14:textId="0A3DAC24" w:rsidR="00354965" w:rsidRPr="00106E8B" w:rsidRDefault="00354965" w:rsidP="004132EA">
      <w:pPr>
        <w:spacing w:before="240" w:after="240" w:line="240" w:lineRule="auto"/>
        <w:jc w:val="both"/>
        <w:rPr>
          <w:rFonts w:ascii="Aptos" w:hAnsi="Aptos"/>
          <w:b/>
        </w:rPr>
      </w:pPr>
      <w:r w:rsidRPr="00106E8B">
        <w:rPr>
          <w:rFonts w:ascii="Aptos" w:hAnsi="Aptos"/>
          <w:b/>
        </w:rPr>
        <w:t>Ženy a lidé s nižším vzděláním mají horší finanční gramotnost</w:t>
      </w:r>
    </w:p>
    <w:p w14:paraId="5D102D61" w14:textId="0DB221B8" w:rsidR="00620A53" w:rsidRPr="00106E8B" w:rsidRDefault="0C7EDE35" w:rsidP="004132EA">
      <w:pPr>
        <w:pBdr>
          <w:top w:val="nil"/>
          <w:left w:val="nil"/>
          <w:bottom w:val="nil"/>
          <w:right w:val="nil"/>
          <w:between w:val="nil"/>
        </w:pBdr>
        <w:spacing w:before="240" w:after="240" w:line="240" w:lineRule="auto"/>
        <w:jc w:val="both"/>
        <w:rPr>
          <w:rFonts w:ascii="Aptos" w:hAnsi="Aptos"/>
        </w:rPr>
      </w:pPr>
      <w:r w:rsidRPr="0C7EDE35">
        <w:rPr>
          <w:rFonts w:ascii="Aptos" w:hAnsi="Aptos"/>
        </w:rPr>
        <w:t xml:space="preserve">Hlubší analýza dat ukazuje, že finanční gramotnost roste s vyšším vzděláním a vyšším příjmem. </w:t>
      </w:r>
      <w:r w:rsidRPr="0C7EDE35">
        <w:rPr>
          <w:rFonts w:ascii="Aptos" w:hAnsi="Aptos"/>
          <w:i/>
          <w:iCs/>
        </w:rPr>
        <w:t xml:space="preserve">„To je poměrně očekávatelný výsledek. Zarážející je však výrazně nižší finanční gramotnost žen. Ta souvisí s velkými genderovými rozdíly, jež v Česku stále přetrvávají. V celoevropském hodnocení rovnosti žen a mužů Gender </w:t>
      </w:r>
      <w:proofErr w:type="spellStart"/>
      <w:r w:rsidRPr="0C7EDE35">
        <w:rPr>
          <w:rFonts w:ascii="Aptos" w:hAnsi="Aptos"/>
          <w:i/>
          <w:iCs/>
        </w:rPr>
        <w:t>Equality</w:t>
      </w:r>
      <w:proofErr w:type="spellEnd"/>
      <w:r w:rsidRPr="0C7EDE35">
        <w:rPr>
          <w:rFonts w:ascii="Aptos" w:hAnsi="Aptos"/>
          <w:i/>
          <w:iCs/>
        </w:rPr>
        <w:t xml:space="preserve"> Index se Česko v roce 2023 umístilo na poměrně tristním 25. místě mezi zeměmi EU. V indexu jsme nejhůře hodnoceni v oblasti ‚moc‘, která zahrnuje podíl žen na ekonomickém a sociálním rozhodování. Zjištění, že muži častěji nejen deklarují větší přehled ve finančních záležitostech, ale i odpovídají správně na položené otázky, potvrzuje tyto nerovnosti a naznačuje prostor pro zlepšení v této oblasti,”</w:t>
      </w:r>
      <w:r w:rsidRPr="0C7EDE35">
        <w:rPr>
          <w:rFonts w:ascii="Aptos" w:hAnsi="Aptos"/>
        </w:rPr>
        <w:t xml:space="preserve"> komentuje Kamila Fialová ze Sociologického ústavu Akademie věd ČR.</w:t>
      </w:r>
    </w:p>
    <w:p w14:paraId="7270375D" w14:textId="2F6CE4AC" w:rsidR="009553E6" w:rsidRDefault="0C7EDE35" w:rsidP="004132EA">
      <w:pPr>
        <w:pBdr>
          <w:top w:val="nil"/>
          <w:left w:val="nil"/>
          <w:bottom w:val="nil"/>
          <w:right w:val="nil"/>
          <w:between w:val="nil"/>
        </w:pBdr>
        <w:spacing w:before="240" w:after="240" w:line="240" w:lineRule="auto"/>
        <w:jc w:val="both"/>
        <w:rPr>
          <w:rFonts w:ascii="Aptos" w:hAnsi="Aptos"/>
        </w:rPr>
      </w:pPr>
      <w:r w:rsidRPr="0C7EDE35">
        <w:rPr>
          <w:rFonts w:ascii="Aptos" w:hAnsi="Aptos"/>
        </w:rPr>
        <w:lastRenderedPageBreak/>
        <w:t xml:space="preserve">Například pouze čtvrtina žen (oproti 46 % mužů) odpověděla správně na otázku, jestli investice prostřednictvím akciového fondu poskytuje bezpečnější výnos než nákup akcií jedné společnosti. </w:t>
      </w:r>
      <w:r w:rsidRPr="0C7EDE35">
        <w:rPr>
          <w:rFonts w:ascii="Aptos" w:hAnsi="Aptos"/>
          <w:i/>
          <w:iCs/>
        </w:rPr>
        <w:t xml:space="preserve">„Stejně tak méně žen dokázalo správně vyhodnotit, že pokud inflace překoná úrokovou sazbu na jejich spořicím účtu, tak budou reálně ztrácet peníze. Naopak nejmenší problém činila ženám otázka na to, jak funguje úročení na spořícím účtu, přesto na tuto otázku odpovědělo správně pouze 63 % žen, což je o zhruba </w:t>
      </w:r>
      <w:proofErr w:type="gramStart"/>
      <w:r w:rsidRPr="0C7EDE35">
        <w:rPr>
          <w:rFonts w:ascii="Aptos" w:hAnsi="Aptos"/>
          <w:i/>
          <w:iCs/>
        </w:rPr>
        <w:t>10 procentních</w:t>
      </w:r>
      <w:proofErr w:type="gramEnd"/>
      <w:r w:rsidRPr="0C7EDE35">
        <w:rPr>
          <w:rFonts w:ascii="Aptos" w:hAnsi="Aptos"/>
          <w:i/>
          <w:iCs/>
        </w:rPr>
        <w:t xml:space="preserve"> bodů méně než u mužů,”</w:t>
      </w:r>
      <w:r w:rsidRPr="0C7EDE35">
        <w:rPr>
          <w:rFonts w:ascii="Aptos" w:hAnsi="Aptos"/>
        </w:rPr>
        <w:t xml:space="preserve"> vysvětluje Milan Mařík z projektu Evropa v datech.</w:t>
      </w:r>
    </w:p>
    <w:p w14:paraId="3E325C4E" w14:textId="5E92A8B6" w:rsidR="004132EA" w:rsidRDefault="004132EA" w:rsidP="004132EA">
      <w:pPr>
        <w:spacing w:before="240" w:after="240" w:line="240" w:lineRule="auto"/>
        <w:jc w:val="both"/>
        <w:rPr>
          <w:rFonts w:ascii="Aptos" w:hAnsi="Aptos"/>
        </w:rPr>
      </w:pPr>
      <w:r w:rsidRPr="004132EA">
        <w:rPr>
          <w:rFonts w:ascii="Aptos" w:hAnsi="Aptos"/>
        </w:rPr>
        <w:t>[</w:t>
      </w:r>
      <w:hyperlink r:id="rId11" w:history="1">
        <w:r w:rsidRPr="004132EA">
          <w:rPr>
            <w:rStyle w:val="Hypertextovodkaz"/>
            <w:rFonts w:ascii="Aptos" w:hAnsi="Aptos"/>
          </w:rPr>
          <w:t>Infografika 2: Jakou finanční gramotnost mají Češi</w:t>
        </w:r>
      </w:hyperlink>
      <w:r w:rsidRPr="004132EA">
        <w:rPr>
          <w:rFonts w:ascii="Aptos" w:hAnsi="Aptos"/>
        </w:rPr>
        <w:t>]</w:t>
      </w:r>
    </w:p>
    <w:p w14:paraId="3917865C" w14:textId="7F8D5F6A" w:rsidR="0041534A" w:rsidRDefault="004132EA" w:rsidP="004132EA">
      <w:pPr>
        <w:spacing w:before="240" w:after="240" w:line="240" w:lineRule="auto"/>
        <w:jc w:val="center"/>
        <w:rPr>
          <w:rFonts w:ascii="Aptos" w:hAnsi="Aptos"/>
        </w:rPr>
      </w:pPr>
      <w:r w:rsidRPr="004132EA">
        <w:rPr>
          <w:rFonts w:ascii="Aptos" w:hAnsi="Aptos"/>
          <w:noProof/>
        </w:rPr>
        <w:drawing>
          <wp:inline distT="0" distB="0" distL="0" distR="0" wp14:anchorId="4CFAC58B" wp14:editId="49695B39">
            <wp:extent cx="5155331" cy="2496873"/>
            <wp:effectExtent l="0" t="0" r="1270" b="5080"/>
            <wp:docPr id="767715000" name="Obrázek 1" descr="Obsah obrázku text, diagram, Barevnost,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15000" name="Obrázek 1" descr="Obsah obrázku text, diagram, Barevnost, řada/pruh&#10;&#10;Popis byl vytvořen automaticky"/>
                    <pic:cNvPicPr/>
                  </pic:nvPicPr>
                  <pic:blipFill>
                    <a:blip r:embed="rId12" cstate="email">
                      <a:extLst>
                        <a:ext uri="{28A0092B-C50C-407E-A947-70E740481C1C}">
                          <a14:useLocalDpi xmlns:a14="http://schemas.microsoft.com/office/drawing/2010/main"/>
                        </a:ext>
                      </a:extLst>
                    </a:blip>
                    <a:stretch>
                      <a:fillRect/>
                    </a:stretch>
                  </pic:blipFill>
                  <pic:spPr>
                    <a:xfrm>
                      <a:off x="0" y="0"/>
                      <a:ext cx="5229927" cy="2533002"/>
                    </a:xfrm>
                    <a:prstGeom prst="rect">
                      <a:avLst/>
                    </a:prstGeom>
                  </pic:spPr>
                </pic:pic>
              </a:graphicData>
            </a:graphic>
          </wp:inline>
        </w:drawing>
      </w:r>
    </w:p>
    <w:p w14:paraId="7409D011" w14:textId="6B0F668D" w:rsidR="00354965" w:rsidRPr="00106E8B" w:rsidRDefault="0C7EDE35" w:rsidP="004132EA">
      <w:pPr>
        <w:spacing w:before="240" w:after="240" w:line="240" w:lineRule="auto"/>
        <w:jc w:val="both"/>
        <w:rPr>
          <w:rFonts w:ascii="Aptos" w:hAnsi="Aptos"/>
          <w:b/>
          <w:bCs/>
        </w:rPr>
      </w:pPr>
      <w:r w:rsidRPr="0C7EDE35">
        <w:rPr>
          <w:rFonts w:ascii="Aptos" w:hAnsi="Aptos"/>
          <w:b/>
          <w:bCs/>
        </w:rPr>
        <w:t>Češi mají mezery v investování</w:t>
      </w:r>
    </w:p>
    <w:p w14:paraId="46AE3F5A" w14:textId="6D9269E7" w:rsidR="00354965" w:rsidRPr="00106E8B" w:rsidRDefault="0C7EDE35" w:rsidP="004132EA">
      <w:pPr>
        <w:spacing w:before="240" w:after="240" w:line="240" w:lineRule="auto"/>
        <w:jc w:val="both"/>
        <w:rPr>
          <w:rFonts w:ascii="Aptos" w:hAnsi="Aptos"/>
        </w:rPr>
      </w:pPr>
      <w:r w:rsidRPr="0C7EDE35">
        <w:rPr>
          <w:rFonts w:ascii="Aptos" w:hAnsi="Aptos"/>
        </w:rPr>
        <w:t xml:space="preserve">Ačkoliv zájem o investování mezi Čechy roste, </w:t>
      </w:r>
      <w:proofErr w:type="gramStart"/>
      <w:r w:rsidRPr="0C7EDE35">
        <w:rPr>
          <w:rFonts w:ascii="Aptos" w:hAnsi="Aptos"/>
        </w:rPr>
        <w:t>patří</w:t>
      </w:r>
      <w:proofErr w:type="gramEnd"/>
      <w:r w:rsidRPr="0C7EDE35">
        <w:rPr>
          <w:rFonts w:ascii="Aptos" w:hAnsi="Aptos"/>
        </w:rPr>
        <w:t xml:space="preserve"> tato oblast mezi ty, v </w:t>
      </w:r>
      <w:r w:rsidR="00E56694">
        <w:rPr>
          <w:rFonts w:ascii="Aptos" w:hAnsi="Aptos"/>
        </w:rPr>
        <w:t>nichž</w:t>
      </w:r>
      <w:r w:rsidR="00E56694" w:rsidRPr="0C7EDE35">
        <w:rPr>
          <w:rFonts w:ascii="Aptos" w:hAnsi="Aptos"/>
        </w:rPr>
        <w:t xml:space="preserve"> </w:t>
      </w:r>
      <w:r w:rsidRPr="0C7EDE35">
        <w:rPr>
          <w:rFonts w:ascii="Aptos" w:hAnsi="Aptos"/>
        </w:rPr>
        <w:t xml:space="preserve">máme největší nedostatky. Na otázku, zda je nákup podílu v akciovém fondu obvykle méně rizikový než nákup akcie jednotlivé společnosti, nedokázala nebo nechtěla více než polovina Čechů odpovědět. Pouze třetina správně uvedla, že nákup podílu v akciovém fondu je z hlediska rizika ztráty hodnoty investice bezpečnější. </w:t>
      </w:r>
      <w:r w:rsidRPr="0C7EDE35">
        <w:rPr>
          <w:rFonts w:ascii="Aptos" w:hAnsi="Aptos"/>
          <w:i/>
          <w:iCs/>
        </w:rPr>
        <w:t>„Výhoda akciových fondů spočívá v jejich široké diverzifikaci, kdy</w:t>
      </w:r>
      <w:r w:rsidR="00E56694">
        <w:rPr>
          <w:rFonts w:ascii="Aptos" w:hAnsi="Aptos"/>
          <w:i/>
          <w:iCs/>
        </w:rPr>
        <w:t xml:space="preserve"> je</w:t>
      </w:r>
      <w:r w:rsidRPr="0C7EDE35">
        <w:rPr>
          <w:rFonts w:ascii="Aptos" w:hAnsi="Aptos"/>
          <w:i/>
          <w:iCs/>
        </w:rPr>
        <w:t xml:space="preserve"> fond tvořen větším počtem jednotlivých akcií. Riziko výběru nevhodného titulu a následné ztráty z něj je tedy nižší,”</w:t>
      </w:r>
      <w:r w:rsidRPr="0C7EDE35">
        <w:rPr>
          <w:rFonts w:ascii="Aptos" w:hAnsi="Aptos"/>
        </w:rPr>
        <w:t xml:space="preserve"> říká Tereza Hrtúsová, analytička České spořitelny.</w:t>
      </w:r>
    </w:p>
    <w:p w14:paraId="04AF1F9C" w14:textId="3B5F46FA" w:rsidR="4F2DB5C8" w:rsidRDefault="0C7EDE35" w:rsidP="004132EA">
      <w:pPr>
        <w:spacing w:before="240" w:after="240" w:line="240" w:lineRule="auto"/>
        <w:jc w:val="both"/>
        <w:rPr>
          <w:rFonts w:ascii="Aptos" w:hAnsi="Aptos"/>
        </w:rPr>
      </w:pPr>
      <w:r w:rsidRPr="0C7EDE35">
        <w:rPr>
          <w:rFonts w:ascii="Aptos" w:hAnsi="Aptos"/>
        </w:rPr>
        <w:t>Stejně tak Češi tápou v pochopení principu diverzifikace celého investičního portfolia. Pouze polovina respondentů správně uvedla, že koupí akcií více společností mohou snížit rizikovost své investice. Stejný nedostatek znalostí se ukázal i u otázky, zda diverzifikace investic snižuje riziko ztráty financí. Na tuto otázku téměř pětina lidí odpověděla, že taková diverzifikace rizika nesnižuje, a další pětina neuměla či nechtěla odpovědět.</w:t>
      </w:r>
    </w:p>
    <w:p w14:paraId="1B3BD0D5" w14:textId="77777777" w:rsidR="00867A35" w:rsidRPr="00867A35" w:rsidRDefault="00867A35" w:rsidP="004132EA">
      <w:pPr>
        <w:spacing w:before="240" w:after="240" w:line="240" w:lineRule="auto"/>
        <w:jc w:val="both"/>
        <w:rPr>
          <w:rFonts w:ascii="Aptos" w:hAnsi="Aptos"/>
          <w:b/>
          <w:bCs/>
        </w:rPr>
      </w:pPr>
      <w:r w:rsidRPr="00867A35">
        <w:rPr>
          <w:rFonts w:ascii="Aptos" w:hAnsi="Aptos"/>
          <w:b/>
          <w:bCs/>
        </w:rPr>
        <w:t>Pětina lidí považuje za dostatečné ověření totožnosti bankéře, když jim volá z telefonního čísla banky</w:t>
      </w:r>
    </w:p>
    <w:p w14:paraId="5A77D787" w14:textId="2BC104E6" w:rsidR="00354965" w:rsidRPr="00106E8B" w:rsidRDefault="0C7EDE35" w:rsidP="004132EA">
      <w:pPr>
        <w:spacing w:before="240" w:after="240" w:line="240" w:lineRule="auto"/>
        <w:jc w:val="both"/>
        <w:rPr>
          <w:rFonts w:ascii="Aptos" w:hAnsi="Aptos"/>
        </w:rPr>
      </w:pPr>
      <w:r w:rsidRPr="0C7EDE35">
        <w:rPr>
          <w:rFonts w:ascii="Aptos" w:hAnsi="Aptos"/>
        </w:rPr>
        <w:t xml:space="preserve">Průzkum finanční gramotnosti se zaměřil také na schopnost rozpoznat finanční podvody. V tomto ohledu se Češi cítí jistí – zhruba čtyři pětiny dotazovaných uvedly, že jsou schopni identifikovat finanční podvod při setkání s různými typy kybernetických podvodů. Největší jistotu mají při rozpoznávání podvodných bankovních e-mailů a falešných zpráv od přátel na sociálních sítích. </w:t>
      </w:r>
    </w:p>
    <w:p w14:paraId="1360E2C0" w14:textId="77777777" w:rsidR="00620A53" w:rsidRDefault="00620A53" w:rsidP="004132EA">
      <w:pPr>
        <w:spacing w:before="240" w:after="240" w:line="240" w:lineRule="auto"/>
        <w:jc w:val="both"/>
        <w:rPr>
          <w:rFonts w:ascii="Aptos" w:hAnsi="Aptos"/>
        </w:rPr>
      </w:pPr>
    </w:p>
    <w:p w14:paraId="1928C606" w14:textId="20DDD291" w:rsidR="00AA4BC3" w:rsidRDefault="0C7EDE35" w:rsidP="004132EA">
      <w:pPr>
        <w:spacing w:before="240" w:after="240" w:line="240" w:lineRule="auto"/>
        <w:jc w:val="both"/>
        <w:rPr>
          <w:rFonts w:ascii="Aptos" w:hAnsi="Aptos"/>
        </w:rPr>
      </w:pPr>
      <w:r w:rsidRPr="0C7EDE35">
        <w:rPr>
          <w:rFonts w:ascii="Aptos" w:hAnsi="Aptos"/>
        </w:rPr>
        <w:lastRenderedPageBreak/>
        <w:t>Tři č</w:t>
      </w:r>
      <w:r w:rsidR="00E56694">
        <w:rPr>
          <w:rFonts w:ascii="Aptos" w:hAnsi="Aptos"/>
        </w:rPr>
        <w:t>t</w:t>
      </w:r>
      <w:r w:rsidRPr="0C7EDE35">
        <w:rPr>
          <w:rFonts w:ascii="Aptos" w:hAnsi="Aptos"/>
        </w:rPr>
        <w:t xml:space="preserve">vrtiny Čechů sice ví, že bankéř po klientech nesmí chtít vědět přístupové údaje do bankovnictví, nicméně téměř pětina populace </w:t>
      </w:r>
      <w:proofErr w:type="gramStart"/>
      <w:r w:rsidRPr="0C7EDE35">
        <w:rPr>
          <w:rFonts w:ascii="Aptos" w:hAnsi="Aptos"/>
        </w:rPr>
        <w:t>věří</w:t>
      </w:r>
      <w:proofErr w:type="gramEnd"/>
      <w:r w:rsidRPr="0C7EDE35">
        <w:rPr>
          <w:rFonts w:ascii="Aptos" w:hAnsi="Aptos"/>
        </w:rPr>
        <w:t xml:space="preserve">, že ke správnému ověření identity volajícího bankéře stačí, aby telefonní číslo odpovídalo číslu banky. Podvodníci však dnes běžně využívají technologie (tzv. </w:t>
      </w:r>
      <w:proofErr w:type="spellStart"/>
      <w:r w:rsidR="00E56694">
        <w:rPr>
          <w:rFonts w:ascii="Aptos" w:hAnsi="Aptos"/>
        </w:rPr>
        <w:t>sp</w:t>
      </w:r>
      <w:r w:rsidRPr="0C7EDE35">
        <w:rPr>
          <w:rFonts w:ascii="Aptos" w:hAnsi="Aptos"/>
        </w:rPr>
        <w:t>oofing</w:t>
      </w:r>
      <w:proofErr w:type="spellEnd"/>
      <w:r w:rsidRPr="0C7EDE35">
        <w:rPr>
          <w:rFonts w:ascii="Aptos" w:hAnsi="Aptos"/>
        </w:rPr>
        <w:t>), které jim umožňují volat z jakéhokoli telefonního čísla. Některé banky proto již nyní využívají pro ověření skutečného bankéře mobilní bankovní aplikaci, skrze kterou lze snadno odhalit podvodné telefonáty. Za dostatečné ověření by to považovalo 44</w:t>
      </w:r>
      <w:r w:rsidR="0042424D">
        <w:rPr>
          <w:rFonts w:ascii="Aptos" w:hAnsi="Aptos"/>
        </w:rPr>
        <w:t> </w:t>
      </w:r>
      <w:r w:rsidRPr="0C7EDE35">
        <w:rPr>
          <w:rFonts w:ascii="Aptos" w:hAnsi="Aptos"/>
        </w:rPr>
        <w:t>%</w:t>
      </w:r>
      <w:r w:rsidR="0042424D">
        <w:rPr>
          <w:rFonts w:ascii="Aptos" w:hAnsi="Aptos"/>
        </w:rPr>
        <w:t> </w:t>
      </w:r>
      <w:r w:rsidRPr="0C7EDE35">
        <w:rPr>
          <w:rFonts w:ascii="Aptos" w:hAnsi="Aptos"/>
        </w:rPr>
        <w:t xml:space="preserve">dotazovaných. </w:t>
      </w:r>
    </w:p>
    <w:p w14:paraId="2C940586" w14:textId="4E444EA4" w:rsidR="009553E6" w:rsidRDefault="0C7EDE35" w:rsidP="004132EA">
      <w:pPr>
        <w:spacing w:before="240" w:after="240" w:line="240" w:lineRule="auto"/>
        <w:jc w:val="both"/>
        <w:rPr>
          <w:rFonts w:ascii="Aptos" w:hAnsi="Aptos"/>
        </w:rPr>
      </w:pPr>
      <w:r w:rsidRPr="0C7EDE35">
        <w:rPr>
          <w:rFonts w:ascii="Aptos" w:hAnsi="Aptos"/>
          <w:i/>
          <w:iCs/>
        </w:rPr>
        <w:t xml:space="preserve">„Klienti si mohou ve své mobilní aplikaci George ověřit, zda jim volá skutečný bankéř </w:t>
      </w:r>
      <w:r w:rsidR="00E56694">
        <w:rPr>
          <w:rFonts w:ascii="Aptos" w:hAnsi="Aptos"/>
          <w:i/>
          <w:iCs/>
        </w:rPr>
        <w:t>České s</w:t>
      </w:r>
      <w:r w:rsidRPr="0C7EDE35">
        <w:rPr>
          <w:rFonts w:ascii="Aptos" w:hAnsi="Aptos"/>
          <w:i/>
          <w:iCs/>
        </w:rPr>
        <w:t xml:space="preserve">pořitelny. Tato funkcionalita pomáhá v boji proti různým formám </w:t>
      </w:r>
      <w:proofErr w:type="spellStart"/>
      <w:r w:rsidRPr="0C7EDE35">
        <w:rPr>
          <w:rFonts w:ascii="Aptos" w:hAnsi="Aptos"/>
          <w:i/>
          <w:iCs/>
        </w:rPr>
        <w:t>phishingových</w:t>
      </w:r>
      <w:proofErr w:type="spellEnd"/>
      <w:r w:rsidRPr="0C7EDE35">
        <w:rPr>
          <w:rFonts w:ascii="Aptos" w:hAnsi="Aptos"/>
          <w:i/>
          <w:iCs/>
        </w:rPr>
        <w:t xml:space="preserve"> a </w:t>
      </w:r>
      <w:proofErr w:type="spellStart"/>
      <w:r w:rsidRPr="0C7EDE35">
        <w:rPr>
          <w:rFonts w:ascii="Aptos" w:hAnsi="Aptos"/>
          <w:i/>
          <w:iCs/>
        </w:rPr>
        <w:t>vishingových</w:t>
      </w:r>
      <w:proofErr w:type="spellEnd"/>
      <w:r w:rsidRPr="0C7EDE35">
        <w:rPr>
          <w:rFonts w:ascii="Aptos" w:hAnsi="Aptos"/>
          <w:i/>
          <w:iCs/>
        </w:rPr>
        <w:t xml:space="preserve"> útoků, kdy zpravidla klienty kontaktuje neznámý útočník, vydávající se za zaměstnance </w:t>
      </w:r>
      <w:r w:rsidR="00CB0691">
        <w:rPr>
          <w:rFonts w:ascii="Aptos" w:hAnsi="Aptos"/>
          <w:i/>
          <w:iCs/>
        </w:rPr>
        <w:t>S</w:t>
      </w:r>
      <w:r w:rsidRPr="0C7EDE35">
        <w:rPr>
          <w:rFonts w:ascii="Aptos" w:hAnsi="Aptos"/>
          <w:i/>
          <w:iCs/>
        </w:rPr>
        <w:t xml:space="preserve">pořitelny, a </w:t>
      </w:r>
      <w:proofErr w:type="gramStart"/>
      <w:r w:rsidRPr="0C7EDE35">
        <w:rPr>
          <w:rFonts w:ascii="Aptos" w:hAnsi="Aptos"/>
          <w:i/>
          <w:iCs/>
        </w:rPr>
        <w:t>snaží</w:t>
      </w:r>
      <w:proofErr w:type="gramEnd"/>
      <w:r w:rsidRPr="0C7EDE35">
        <w:rPr>
          <w:rFonts w:ascii="Aptos" w:hAnsi="Aptos"/>
          <w:i/>
          <w:iCs/>
        </w:rPr>
        <w:t xml:space="preserve"> se z nich vylákat přihlašovací a bezpečnostní údaje k mobilnímu č</w:t>
      </w:r>
      <w:r w:rsidR="00E56694">
        <w:rPr>
          <w:rFonts w:ascii="Aptos" w:hAnsi="Aptos"/>
          <w:i/>
          <w:iCs/>
        </w:rPr>
        <w:t>i</w:t>
      </w:r>
      <w:r w:rsidRPr="0C7EDE35">
        <w:rPr>
          <w:rFonts w:ascii="Aptos" w:hAnsi="Aptos"/>
          <w:i/>
          <w:iCs/>
        </w:rPr>
        <w:t xml:space="preserve"> internetovému bankovnictví,”</w:t>
      </w:r>
      <w:r w:rsidRPr="0C7EDE35">
        <w:rPr>
          <w:rFonts w:ascii="Aptos" w:hAnsi="Aptos"/>
        </w:rPr>
        <w:t xml:space="preserve"> říká Petr Zíma, manažer klientské bezpečnosti České spořitelny a</w:t>
      </w:r>
      <w:r w:rsidR="009553E6">
        <w:rPr>
          <w:rFonts w:ascii="Aptos" w:hAnsi="Aptos"/>
        </w:rPr>
        <w:t> </w:t>
      </w:r>
      <w:r w:rsidRPr="0C7EDE35">
        <w:rPr>
          <w:rFonts w:ascii="Aptos" w:hAnsi="Aptos"/>
        </w:rPr>
        <w:t>dodává, že pokud si klient není jistý, s kým hovoří, je lepší hovor ukončit a zavolat zpět na oficiální číslo banky.</w:t>
      </w:r>
    </w:p>
    <w:p w14:paraId="02D6D7D1" w14:textId="7386803A" w:rsidR="00354965" w:rsidRPr="009553E6" w:rsidRDefault="0C7EDE35" w:rsidP="004132EA">
      <w:pPr>
        <w:spacing w:before="240" w:after="240" w:line="240" w:lineRule="auto"/>
        <w:jc w:val="both"/>
        <w:rPr>
          <w:rFonts w:ascii="Aptos" w:hAnsi="Aptos"/>
          <w:b/>
          <w:bCs/>
        </w:rPr>
      </w:pPr>
      <w:r w:rsidRPr="0C7EDE35">
        <w:rPr>
          <w:rFonts w:ascii="Aptos" w:hAnsi="Aptos"/>
          <w:b/>
          <w:bCs/>
        </w:rPr>
        <w:t>Více než dvě třetiny Čechů nerozumí, co jsou kryptoměny</w:t>
      </w:r>
    </w:p>
    <w:p w14:paraId="526CBF1E" w14:textId="59933D01" w:rsidR="004132EA" w:rsidRDefault="0C7EDE35" w:rsidP="004132EA">
      <w:pPr>
        <w:spacing w:before="240" w:after="240" w:line="240" w:lineRule="auto"/>
        <w:jc w:val="both"/>
        <w:rPr>
          <w:rFonts w:ascii="Aptos" w:hAnsi="Aptos"/>
          <w:b/>
          <w:bCs/>
        </w:rPr>
      </w:pPr>
      <w:r w:rsidRPr="0C7EDE35">
        <w:rPr>
          <w:rFonts w:ascii="Aptos" w:hAnsi="Aptos"/>
        </w:rPr>
        <w:t>Průzkum rovněž zjišťoval, jaké mají Češi povědomí o kryptoměnách. Drtivá většina dotázaných (92 %) sice o kryptoměnách slyšel</w:t>
      </w:r>
      <w:r w:rsidR="007F24E5">
        <w:rPr>
          <w:rFonts w:ascii="Aptos" w:hAnsi="Aptos"/>
        </w:rPr>
        <w:t>a</w:t>
      </w:r>
      <w:r w:rsidRPr="0C7EDE35">
        <w:rPr>
          <w:rFonts w:ascii="Aptos" w:hAnsi="Aptos"/>
        </w:rPr>
        <w:t>, ale 71 % jim nerozumí. Ti, kteří se s pojmem už setkali, jej nejčastěji chápou jako nový typ digitální měny, která není regulovaná. Osobní zkušenost má 17</w:t>
      </w:r>
      <w:r w:rsidR="009553E6">
        <w:rPr>
          <w:rFonts w:ascii="Aptos" w:hAnsi="Aptos"/>
        </w:rPr>
        <w:t> </w:t>
      </w:r>
      <w:r w:rsidRPr="0C7EDE35">
        <w:rPr>
          <w:rFonts w:ascii="Aptos" w:hAnsi="Aptos"/>
        </w:rPr>
        <w:t>% populace, častěji muži a lidé do 49 let.</w:t>
      </w:r>
    </w:p>
    <w:p w14:paraId="3B864948" w14:textId="28B21217" w:rsidR="009553E6" w:rsidRPr="004132EA" w:rsidRDefault="0C7EDE35" w:rsidP="004132EA">
      <w:pPr>
        <w:spacing w:before="240" w:after="240" w:line="240" w:lineRule="auto"/>
        <w:jc w:val="both"/>
        <w:rPr>
          <w:rFonts w:ascii="Aptos" w:hAnsi="Aptos"/>
        </w:rPr>
      </w:pPr>
      <w:r w:rsidRPr="0C7EDE35">
        <w:rPr>
          <w:rFonts w:ascii="Aptos" w:hAnsi="Aptos"/>
          <w:b/>
          <w:bCs/>
        </w:rPr>
        <w:t>Finanční zdraví Čechů: Snížil se podíl lidí, kteří jsou schopni na konci měsíce něco ušetřit</w:t>
      </w:r>
    </w:p>
    <w:p w14:paraId="10089672" w14:textId="0098254F" w:rsidR="009553E6" w:rsidRDefault="0C7EDE35" w:rsidP="004132EA">
      <w:pPr>
        <w:spacing w:before="240" w:after="240" w:line="240" w:lineRule="auto"/>
        <w:jc w:val="both"/>
        <w:rPr>
          <w:rFonts w:ascii="Aptos" w:hAnsi="Aptos"/>
        </w:rPr>
      </w:pPr>
      <w:r w:rsidRPr="0C7EDE35">
        <w:rPr>
          <w:rFonts w:ascii="Aptos" w:hAnsi="Aptos"/>
        </w:rPr>
        <w:t xml:space="preserve">V průzkumu indexu se pravidelně sleduje i vývoj finančního zdraví Čechů. </w:t>
      </w:r>
      <w:r w:rsidR="007F24E5">
        <w:rPr>
          <w:rFonts w:ascii="Aptos" w:hAnsi="Aptos"/>
          <w:i/>
          <w:iCs/>
        </w:rPr>
        <w:t>„</w:t>
      </w:r>
      <w:r w:rsidRPr="0C7EDE35">
        <w:rPr>
          <w:rFonts w:ascii="Aptos" w:hAnsi="Aptos"/>
          <w:i/>
          <w:iCs/>
        </w:rPr>
        <w:t>Za sledované období od roku 2022 postupně klesá podíl lidí, kterým v měsíčním rozpočtu zůstávají i nějaké peníze navíc. Zatímco v roce 2022 dokázalo nějakou částku uspořit 64 % lidí, letos v březnu se jednalo jen o 51 %,</w:t>
      </w:r>
      <w:r w:rsidR="007F24E5">
        <w:rPr>
          <w:rFonts w:ascii="Aptos" w:hAnsi="Aptos"/>
          <w:i/>
          <w:iCs/>
        </w:rPr>
        <w:t>“</w:t>
      </w:r>
      <w:r w:rsidRPr="0C7EDE35">
        <w:rPr>
          <w:rFonts w:ascii="Aptos" w:hAnsi="Aptos"/>
        </w:rPr>
        <w:t xml:space="preserve"> dodává Monika Hrubá, která má na starost strategii finančního zdraví v České spořitelně.</w:t>
      </w:r>
    </w:p>
    <w:p w14:paraId="6C6E5C96" w14:textId="231B2587" w:rsidR="00620A53" w:rsidRDefault="00620A53" w:rsidP="004132EA">
      <w:pPr>
        <w:spacing w:before="240" w:after="240" w:line="240" w:lineRule="auto"/>
        <w:jc w:val="both"/>
        <w:rPr>
          <w:rFonts w:ascii="Aptos" w:hAnsi="Aptos"/>
        </w:rPr>
      </w:pPr>
      <w:r w:rsidRPr="00620A53">
        <w:rPr>
          <w:rFonts w:ascii="Aptos" w:hAnsi="Aptos"/>
        </w:rPr>
        <w:t>[</w:t>
      </w:r>
      <w:hyperlink r:id="rId13" w:history="1">
        <w:r w:rsidRPr="00620A53">
          <w:rPr>
            <w:rStyle w:val="Hypertextovodkaz"/>
            <w:rFonts w:ascii="Aptos" w:hAnsi="Aptos"/>
          </w:rPr>
          <w:t>Infografika 3: Finanční zdraví Čechů</w:t>
        </w:r>
      </w:hyperlink>
      <w:r w:rsidRPr="00620A53">
        <w:rPr>
          <w:rFonts w:ascii="Aptos" w:hAnsi="Aptos"/>
        </w:rPr>
        <w:t>]</w:t>
      </w:r>
    </w:p>
    <w:p w14:paraId="663D202E" w14:textId="6C3260A9" w:rsidR="00620A53" w:rsidRPr="004132EA" w:rsidRDefault="00620A53" w:rsidP="00620A53">
      <w:pPr>
        <w:spacing w:before="240" w:after="240" w:line="240" w:lineRule="auto"/>
        <w:jc w:val="center"/>
        <w:rPr>
          <w:rFonts w:ascii="Aptos" w:hAnsi="Aptos"/>
        </w:rPr>
      </w:pPr>
      <w:r w:rsidRPr="00620A53">
        <w:rPr>
          <w:rFonts w:ascii="Aptos" w:hAnsi="Aptos"/>
          <w:noProof/>
        </w:rPr>
        <w:drawing>
          <wp:inline distT="0" distB="0" distL="0" distR="0" wp14:anchorId="63B3364B" wp14:editId="3476B779">
            <wp:extent cx="5733415" cy="2776855"/>
            <wp:effectExtent l="0" t="0" r="0" b="4445"/>
            <wp:docPr id="1647498666" name="Obrázek 1" descr="Obsah obrázku text, Barevnost, řada/pruh,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98666" name="Obrázek 1" descr="Obsah obrázku text, Barevnost, řada/pruh, číslo&#10;&#10;Popis byl vytvořen automaticky"/>
                    <pic:cNvPicPr/>
                  </pic:nvPicPr>
                  <pic:blipFill>
                    <a:blip r:embed="rId14" cstate="email">
                      <a:extLst>
                        <a:ext uri="{28A0092B-C50C-407E-A947-70E740481C1C}">
                          <a14:useLocalDpi xmlns:a14="http://schemas.microsoft.com/office/drawing/2010/main"/>
                        </a:ext>
                      </a:extLst>
                    </a:blip>
                    <a:stretch>
                      <a:fillRect/>
                    </a:stretch>
                  </pic:blipFill>
                  <pic:spPr>
                    <a:xfrm>
                      <a:off x="0" y="0"/>
                      <a:ext cx="5733415" cy="2776855"/>
                    </a:xfrm>
                    <a:prstGeom prst="rect">
                      <a:avLst/>
                    </a:prstGeom>
                  </pic:spPr>
                </pic:pic>
              </a:graphicData>
            </a:graphic>
          </wp:inline>
        </w:drawing>
      </w:r>
    </w:p>
    <w:p w14:paraId="22DD242D" w14:textId="67DC0849" w:rsidR="004132EA" w:rsidRPr="004132EA" w:rsidRDefault="0C7EDE35" w:rsidP="004132EA">
      <w:pPr>
        <w:spacing w:before="240" w:after="240" w:line="240" w:lineRule="auto"/>
        <w:jc w:val="both"/>
        <w:rPr>
          <w:rFonts w:ascii="Aptos" w:hAnsi="Aptos"/>
        </w:rPr>
      </w:pPr>
      <w:r w:rsidRPr="0C7EDE35">
        <w:rPr>
          <w:rFonts w:ascii="Aptos" w:hAnsi="Aptos"/>
        </w:rPr>
        <w:lastRenderedPageBreak/>
        <w:t xml:space="preserve">Odráží se to i na počtu lidí, kteří mají finanční rezervu. Krátkodobou finanční rezervou nyní disponuje 72 % Čechů, což představuje o </w:t>
      </w:r>
      <w:proofErr w:type="gramStart"/>
      <w:r w:rsidRPr="0C7EDE35">
        <w:rPr>
          <w:rFonts w:ascii="Aptos" w:hAnsi="Aptos"/>
        </w:rPr>
        <w:t>7 procentních</w:t>
      </w:r>
      <w:proofErr w:type="gramEnd"/>
      <w:r w:rsidRPr="0C7EDE35">
        <w:rPr>
          <w:rFonts w:ascii="Aptos" w:hAnsi="Aptos"/>
        </w:rPr>
        <w:t xml:space="preserve"> bodů menší podíl než v roce 2022. Podobný pokles se pak týká i dlouhodobé finanční rezervy. Na druhou stranu stabilně roste počet lidí, kteří očekávají, že se jejich finanční situace </w:t>
      </w:r>
      <w:proofErr w:type="gramStart"/>
      <w:r w:rsidRPr="0C7EDE35">
        <w:rPr>
          <w:rFonts w:ascii="Aptos" w:hAnsi="Aptos"/>
        </w:rPr>
        <w:t>zlepší</w:t>
      </w:r>
      <w:proofErr w:type="gramEnd"/>
      <w:r w:rsidRPr="0C7EDE35">
        <w:rPr>
          <w:rFonts w:ascii="Aptos" w:hAnsi="Aptos"/>
        </w:rPr>
        <w:t xml:space="preserve">. Zlepšení nyní vyhlíží 30 % Čechů oproti 18 % z konce roku 2022. Za tímto optimismem ve většině případech stojí přesvědčení, že se lidem </w:t>
      </w:r>
      <w:proofErr w:type="gramStart"/>
      <w:r w:rsidRPr="0C7EDE35">
        <w:rPr>
          <w:rFonts w:ascii="Aptos" w:hAnsi="Aptos"/>
        </w:rPr>
        <w:t>zvýší</w:t>
      </w:r>
      <w:proofErr w:type="gramEnd"/>
      <w:r w:rsidRPr="0C7EDE35">
        <w:rPr>
          <w:rFonts w:ascii="Aptos" w:hAnsi="Aptos"/>
        </w:rPr>
        <w:t xml:space="preserve"> příjmy, případně splacení úvěru či hypotéky.</w:t>
      </w:r>
    </w:p>
    <w:p w14:paraId="108CF1B5" w14:textId="44C45903" w:rsidR="00620A53" w:rsidRPr="00620A53" w:rsidRDefault="0C7EDE35" w:rsidP="00620A53">
      <w:pPr>
        <w:spacing w:before="240" w:after="240" w:line="240" w:lineRule="auto"/>
        <w:jc w:val="both"/>
        <w:rPr>
          <w:rFonts w:ascii="Aptos" w:hAnsi="Aptos"/>
        </w:rPr>
      </w:pPr>
      <w:r w:rsidRPr="0C7EDE35">
        <w:rPr>
          <w:rFonts w:ascii="Aptos" w:hAnsi="Aptos"/>
        </w:rPr>
        <w:t xml:space="preserve">Zhoršení finanční situace Čechů potvrzují také data </w:t>
      </w:r>
      <w:proofErr w:type="spellStart"/>
      <w:r w:rsidRPr="0C7EDE35">
        <w:rPr>
          <w:rFonts w:ascii="Aptos" w:hAnsi="Aptos"/>
        </w:rPr>
        <w:t>Eurostatu</w:t>
      </w:r>
      <w:proofErr w:type="spellEnd"/>
      <w:r w:rsidRPr="0C7EDE35">
        <w:rPr>
          <w:rFonts w:ascii="Aptos" w:hAnsi="Aptos"/>
        </w:rPr>
        <w:t xml:space="preserve">. </w:t>
      </w:r>
      <w:r w:rsidRPr="0C7EDE35">
        <w:rPr>
          <w:rFonts w:ascii="Aptos" w:hAnsi="Aptos"/>
          <w:i/>
          <w:iCs/>
        </w:rPr>
        <w:t>„Zatímco v roce 2022 činil podíl obyvatel, kteří nejsou schopni čelit neočekávaným výdajům</w:t>
      </w:r>
      <w:r w:rsidR="007F24E5">
        <w:rPr>
          <w:rFonts w:ascii="Aptos" w:hAnsi="Aptos"/>
          <w:i/>
          <w:iCs/>
        </w:rPr>
        <w:t>,</w:t>
      </w:r>
      <w:r w:rsidRPr="0C7EDE35">
        <w:rPr>
          <w:rFonts w:ascii="Aptos" w:hAnsi="Aptos"/>
          <w:i/>
          <w:iCs/>
        </w:rPr>
        <w:t xml:space="preserve"> 18 %, v roce 2023 tento podíl vzrostl na 20 %. Z dlouhodobého hlediska se však stále jedná o relativně nízký podíl. V letech 2005–2014 nebylo schopno čelit neočekávanému výdaji v průměru 40 % obyvatel. Nejhůře jsou na tom domácnosti tvořené jednou dospělou osobou s dítětem, kdy neočekávanému výdaji nebylo v</w:t>
      </w:r>
      <w:r w:rsidR="009553E6">
        <w:rPr>
          <w:rFonts w:ascii="Aptos" w:hAnsi="Aptos"/>
          <w:i/>
          <w:iCs/>
        </w:rPr>
        <w:t> </w:t>
      </w:r>
      <w:r w:rsidRPr="0C7EDE35">
        <w:rPr>
          <w:rFonts w:ascii="Aptos" w:hAnsi="Aptos"/>
          <w:i/>
          <w:iCs/>
        </w:rPr>
        <w:t>loňském roce schopno čelit 54 % z nich</w:t>
      </w:r>
      <w:r w:rsidRPr="009553E6">
        <w:rPr>
          <w:rFonts w:ascii="Aptos" w:hAnsi="Aptos"/>
        </w:rPr>
        <w:t>,”</w:t>
      </w:r>
      <w:r w:rsidRPr="0C7EDE35">
        <w:rPr>
          <w:rFonts w:ascii="Aptos" w:hAnsi="Aptos"/>
        </w:rPr>
        <w:t xml:space="preserve"> </w:t>
      </w:r>
      <w:r w:rsidRPr="009553E6">
        <w:rPr>
          <w:rFonts w:ascii="Aptos" w:hAnsi="Aptos"/>
        </w:rPr>
        <w:t>říká Hrtúsová.</w:t>
      </w:r>
    </w:p>
    <w:p w14:paraId="03F9044A" w14:textId="3EC1169A" w:rsidR="00620A53" w:rsidRDefault="0C7EDE35" w:rsidP="00620A53">
      <w:pPr>
        <w:spacing w:before="720" w:after="720" w:line="240" w:lineRule="auto"/>
        <w:jc w:val="both"/>
      </w:pPr>
      <w:r>
        <w:t xml:space="preserve">Více o </w:t>
      </w:r>
      <w:hyperlink r:id="rId15">
        <w:r w:rsidRPr="0C7EDE35">
          <w:rPr>
            <w:color w:val="0000FF"/>
            <w:u w:val="single"/>
          </w:rPr>
          <w:t>Indexu prosperity a finančního zdraví</w:t>
        </w:r>
      </w:hyperlink>
      <w:r w:rsidRPr="0C7EDE35">
        <w:rPr>
          <w:color w:val="0000FF"/>
          <w:u w:val="single"/>
        </w:rPr>
        <w:t>.</w:t>
      </w:r>
    </w:p>
    <w:p w14:paraId="478472C9" w14:textId="0A21657A" w:rsidR="008E64FE" w:rsidRDefault="00867A35" w:rsidP="00620A53">
      <w:pPr>
        <w:spacing w:line="240" w:lineRule="auto"/>
        <w:jc w:val="both"/>
        <w:rPr>
          <w:b/>
        </w:rPr>
      </w:pPr>
      <w:r>
        <w:rPr>
          <w:b/>
        </w:rPr>
        <w:t>Kontakt pro média:</w:t>
      </w:r>
    </w:p>
    <w:p w14:paraId="3F346EC6" w14:textId="77777777" w:rsidR="008E64FE" w:rsidRDefault="00867A35" w:rsidP="00620A53">
      <w:pPr>
        <w:spacing w:line="240" w:lineRule="auto"/>
        <w:jc w:val="both"/>
      </w:pPr>
      <w:r>
        <w:t>Adéla Veselá</w:t>
      </w:r>
    </w:p>
    <w:p w14:paraId="598A7CAB" w14:textId="77777777" w:rsidR="008E64FE" w:rsidRDefault="00867A35" w:rsidP="00620A53">
      <w:pPr>
        <w:spacing w:line="240" w:lineRule="auto"/>
        <w:jc w:val="both"/>
      </w:pPr>
      <w:r>
        <w:t xml:space="preserve">Email: </w:t>
      </w:r>
      <w:hyperlink r:id="rId16">
        <w:r>
          <w:rPr>
            <w:color w:val="0000FF"/>
            <w:u w:val="single"/>
          </w:rPr>
          <w:t>adela.vesela@dfmg.cz</w:t>
        </w:r>
      </w:hyperlink>
    </w:p>
    <w:p w14:paraId="30DD84B0" w14:textId="1421EF79" w:rsidR="008E64FE" w:rsidRDefault="00867A35" w:rsidP="00620A53">
      <w:pPr>
        <w:spacing w:line="240" w:lineRule="auto"/>
        <w:jc w:val="both"/>
      </w:pPr>
      <w:r>
        <w:t>Tel.: 722 193</w:t>
      </w:r>
      <w:r w:rsidR="004132EA">
        <w:t> </w:t>
      </w:r>
      <w:r>
        <w:t>819</w:t>
      </w:r>
    </w:p>
    <w:p w14:paraId="45B5C088" w14:textId="63C7970F" w:rsidR="004132EA" w:rsidRDefault="004132EA" w:rsidP="004132EA">
      <w:pPr>
        <w:spacing w:before="240" w:after="240" w:line="240" w:lineRule="auto"/>
        <w:jc w:val="both"/>
      </w:pPr>
    </w:p>
    <w:sectPr w:rsidR="004132EA">
      <w:headerReference w:type="default" r:id="rId1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63B9D" w14:textId="77777777" w:rsidR="00D8655C" w:rsidRDefault="00D8655C">
      <w:pPr>
        <w:spacing w:line="240" w:lineRule="auto"/>
      </w:pPr>
      <w:r>
        <w:separator/>
      </w:r>
    </w:p>
  </w:endnote>
  <w:endnote w:type="continuationSeparator" w:id="0">
    <w:p w14:paraId="09E12F83" w14:textId="77777777" w:rsidR="00D8655C" w:rsidRDefault="00D865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8239" w14:textId="77777777" w:rsidR="00D8655C" w:rsidRDefault="00D8655C">
      <w:pPr>
        <w:spacing w:line="240" w:lineRule="auto"/>
      </w:pPr>
      <w:r>
        <w:separator/>
      </w:r>
    </w:p>
  </w:footnote>
  <w:footnote w:type="continuationSeparator" w:id="0">
    <w:p w14:paraId="72F99817" w14:textId="77777777" w:rsidR="00D8655C" w:rsidRDefault="00D865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8E7C" w14:textId="5E34C757" w:rsidR="008E64FE" w:rsidRDefault="009553E6">
    <w:r>
      <w:rPr>
        <w:noProof/>
      </w:rPr>
      <w:drawing>
        <wp:anchor distT="114300" distB="114300" distL="114300" distR="114300" simplePos="0" relativeHeight="251661312" behindDoc="0" locked="0" layoutInCell="1" hidden="0" allowOverlap="1" wp14:anchorId="18A2D618" wp14:editId="681AFFB7">
          <wp:simplePos x="0" y="0"/>
          <wp:positionH relativeFrom="column">
            <wp:posOffset>4328144</wp:posOffset>
          </wp:positionH>
          <wp:positionV relativeFrom="paragraph">
            <wp:posOffset>-10968</wp:posOffset>
          </wp:positionV>
          <wp:extent cx="1323975" cy="336869"/>
          <wp:effectExtent l="0" t="0" r="0" b="0"/>
          <wp:wrapSquare wrapText="bothSides" distT="114300" distB="114300" distL="114300" distR="114300"/>
          <wp:docPr id="16075037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23975" cy="33686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7F03553A" wp14:editId="6AF70280">
          <wp:simplePos x="0" y="0"/>
          <wp:positionH relativeFrom="column">
            <wp:posOffset>2809240</wp:posOffset>
          </wp:positionH>
          <wp:positionV relativeFrom="paragraph">
            <wp:posOffset>-60325</wp:posOffset>
          </wp:positionV>
          <wp:extent cx="1252220" cy="467995"/>
          <wp:effectExtent l="0" t="0" r="0" b="0"/>
          <wp:wrapSquare wrapText="bothSides" distT="114300" distB="114300" distL="114300" distR="114300"/>
          <wp:docPr id="160750377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
                  <a:srcRect/>
                  <a:stretch>
                    <a:fillRect/>
                  </a:stretch>
                </pic:blipFill>
                <pic:spPr>
                  <a:xfrm>
                    <a:off x="0" y="0"/>
                    <a:ext cx="1252220" cy="46799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4321EA3F" wp14:editId="0E849326">
          <wp:simplePos x="0" y="0"/>
          <wp:positionH relativeFrom="column">
            <wp:posOffset>1236345</wp:posOffset>
          </wp:positionH>
          <wp:positionV relativeFrom="paragraph">
            <wp:posOffset>-56515</wp:posOffset>
          </wp:positionV>
          <wp:extent cx="1322070" cy="457200"/>
          <wp:effectExtent l="0" t="0" r="0" b="0"/>
          <wp:wrapSquare wrapText="bothSides" distT="114300" distB="114300" distL="114300" distR="114300"/>
          <wp:docPr id="160750378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
                  <a:srcRect/>
                  <a:stretch>
                    <a:fillRect/>
                  </a:stretch>
                </pic:blipFill>
                <pic:spPr>
                  <a:xfrm>
                    <a:off x="0" y="0"/>
                    <a:ext cx="1322070" cy="457200"/>
                  </a:xfrm>
                  <a:prstGeom prst="rect">
                    <a:avLst/>
                  </a:prstGeom>
                  <a:ln/>
                </pic:spPr>
              </pic:pic>
            </a:graphicData>
          </a:graphic>
        </wp:anchor>
      </w:drawing>
    </w:r>
    <w:r w:rsidR="00867A35">
      <w:rPr>
        <w:noProof/>
      </w:rPr>
      <w:drawing>
        <wp:anchor distT="114300" distB="114300" distL="114300" distR="114300" simplePos="0" relativeHeight="251658240" behindDoc="0" locked="0" layoutInCell="1" hidden="0" allowOverlap="1" wp14:anchorId="5F004CA2" wp14:editId="234754F4">
          <wp:simplePos x="0" y="0"/>
          <wp:positionH relativeFrom="column">
            <wp:posOffset>42545</wp:posOffset>
          </wp:positionH>
          <wp:positionV relativeFrom="paragraph">
            <wp:posOffset>-56572</wp:posOffset>
          </wp:positionV>
          <wp:extent cx="926945" cy="452438"/>
          <wp:effectExtent l="0" t="0" r="0" b="0"/>
          <wp:wrapSquare wrapText="bothSides" distT="114300" distB="114300" distL="114300" distR="114300"/>
          <wp:docPr id="16075037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26945" cy="45243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FE"/>
    <w:rsid w:val="00053BAB"/>
    <w:rsid w:val="0006783F"/>
    <w:rsid w:val="000700B1"/>
    <w:rsid w:val="001209E0"/>
    <w:rsid w:val="00157C14"/>
    <w:rsid w:val="00176E45"/>
    <w:rsid w:val="0019533E"/>
    <w:rsid w:val="001A17E2"/>
    <w:rsid w:val="001A60F2"/>
    <w:rsid w:val="001D559E"/>
    <w:rsid w:val="00210F79"/>
    <w:rsid w:val="002463F7"/>
    <w:rsid w:val="00282DC8"/>
    <w:rsid w:val="002C50D3"/>
    <w:rsid w:val="00346A8B"/>
    <w:rsid w:val="003519A5"/>
    <w:rsid w:val="00354965"/>
    <w:rsid w:val="0038240E"/>
    <w:rsid w:val="003F3AD3"/>
    <w:rsid w:val="004132EA"/>
    <w:rsid w:val="0041534A"/>
    <w:rsid w:val="0042424D"/>
    <w:rsid w:val="0043609B"/>
    <w:rsid w:val="004513A5"/>
    <w:rsid w:val="00495AB9"/>
    <w:rsid w:val="004C0CC3"/>
    <w:rsid w:val="005503C5"/>
    <w:rsid w:val="0058414E"/>
    <w:rsid w:val="005A0DFE"/>
    <w:rsid w:val="006054CE"/>
    <w:rsid w:val="00620A53"/>
    <w:rsid w:val="006E6103"/>
    <w:rsid w:val="0072550A"/>
    <w:rsid w:val="00750FAC"/>
    <w:rsid w:val="007742C2"/>
    <w:rsid w:val="0079118A"/>
    <w:rsid w:val="007952CF"/>
    <w:rsid w:val="007D5220"/>
    <w:rsid w:val="007D70EC"/>
    <w:rsid w:val="007E1700"/>
    <w:rsid w:val="007F24E5"/>
    <w:rsid w:val="007F2689"/>
    <w:rsid w:val="008327E5"/>
    <w:rsid w:val="00867A35"/>
    <w:rsid w:val="008A13F3"/>
    <w:rsid w:val="008D65C6"/>
    <w:rsid w:val="008E64FE"/>
    <w:rsid w:val="00916642"/>
    <w:rsid w:val="009553E6"/>
    <w:rsid w:val="00991667"/>
    <w:rsid w:val="009C136F"/>
    <w:rsid w:val="009E17F3"/>
    <w:rsid w:val="00A216D7"/>
    <w:rsid w:val="00A64316"/>
    <w:rsid w:val="00A6472D"/>
    <w:rsid w:val="00AA4BC3"/>
    <w:rsid w:val="00AB327F"/>
    <w:rsid w:val="00B474B1"/>
    <w:rsid w:val="00B57DE0"/>
    <w:rsid w:val="00B612D0"/>
    <w:rsid w:val="00B86087"/>
    <w:rsid w:val="00BB0E6E"/>
    <w:rsid w:val="00C26AF5"/>
    <w:rsid w:val="00C44FE8"/>
    <w:rsid w:val="00C500BD"/>
    <w:rsid w:val="00C56E09"/>
    <w:rsid w:val="00C8206A"/>
    <w:rsid w:val="00CA07C0"/>
    <w:rsid w:val="00CB0691"/>
    <w:rsid w:val="00CD305D"/>
    <w:rsid w:val="00D26712"/>
    <w:rsid w:val="00D8655C"/>
    <w:rsid w:val="00E44F54"/>
    <w:rsid w:val="00E56694"/>
    <w:rsid w:val="00EC2BDC"/>
    <w:rsid w:val="00F06E5D"/>
    <w:rsid w:val="00F501DE"/>
    <w:rsid w:val="00F764B6"/>
    <w:rsid w:val="00F92821"/>
    <w:rsid w:val="00FE3F9E"/>
    <w:rsid w:val="0C7EDE35"/>
    <w:rsid w:val="43118DEA"/>
    <w:rsid w:val="4F2DB5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5F9A"/>
  <w15:docId w15:val="{E43D8D60-9FFD-1E46-A7D5-0EF6E7E0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 w:type="paragraph" w:styleId="Odstavecseseznamem">
    <w:name w:val="List Paragraph"/>
    <w:basedOn w:val="Normln"/>
    <w:uiPriority w:val="34"/>
    <w:qFormat/>
    <w:rsid w:val="000409B2"/>
    <w:pPr>
      <w:ind w:left="720"/>
      <w:contextualSpacing/>
    </w:pPr>
  </w:style>
  <w:style w:type="character" w:styleId="Hypertextovodkaz">
    <w:name w:val="Hyperlink"/>
    <w:basedOn w:val="Standardnpsmoodstavce"/>
    <w:uiPriority w:val="99"/>
    <w:unhideWhenUsed/>
    <w:rsid w:val="000409B2"/>
    <w:rPr>
      <w:color w:val="0000FF" w:themeColor="hyperlink"/>
      <w:u w:val="single"/>
    </w:rPr>
  </w:style>
  <w:style w:type="character" w:customStyle="1" w:styleId="Nevyeenzmnka1">
    <w:name w:val="Nevyřešená zmínka1"/>
    <w:basedOn w:val="Standardnpsmoodstavce"/>
    <w:uiPriority w:val="99"/>
    <w:semiHidden/>
    <w:unhideWhenUsed/>
    <w:rsid w:val="000409B2"/>
    <w:rPr>
      <w:color w:val="605E5C"/>
      <w:shd w:val="clear" w:color="auto" w:fill="E1DFDD"/>
    </w:rPr>
  </w:style>
  <w:style w:type="character" w:styleId="Odkaznakoment">
    <w:name w:val="annotation reference"/>
    <w:basedOn w:val="Standardnpsmoodstavce"/>
    <w:uiPriority w:val="99"/>
    <w:semiHidden/>
    <w:unhideWhenUsed/>
    <w:rsid w:val="00DE5532"/>
    <w:rPr>
      <w:sz w:val="16"/>
      <w:szCs w:val="16"/>
    </w:rPr>
  </w:style>
  <w:style w:type="paragraph" w:styleId="Textkomente">
    <w:name w:val="annotation text"/>
    <w:basedOn w:val="Normln"/>
    <w:link w:val="TextkomenteChar"/>
    <w:uiPriority w:val="99"/>
    <w:semiHidden/>
    <w:unhideWhenUsed/>
    <w:rsid w:val="00DE5532"/>
    <w:pPr>
      <w:spacing w:line="240" w:lineRule="auto"/>
    </w:pPr>
    <w:rPr>
      <w:sz w:val="20"/>
      <w:szCs w:val="20"/>
    </w:rPr>
  </w:style>
  <w:style w:type="character" w:customStyle="1" w:styleId="TextkomenteChar">
    <w:name w:val="Text komentáře Char"/>
    <w:basedOn w:val="Standardnpsmoodstavce"/>
    <w:link w:val="Textkomente"/>
    <w:uiPriority w:val="99"/>
    <w:semiHidden/>
    <w:rsid w:val="00DE5532"/>
    <w:rPr>
      <w:sz w:val="20"/>
      <w:szCs w:val="20"/>
    </w:rPr>
  </w:style>
  <w:style w:type="paragraph" w:styleId="Pedmtkomente">
    <w:name w:val="annotation subject"/>
    <w:basedOn w:val="Textkomente"/>
    <w:next w:val="Textkomente"/>
    <w:link w:val="PedmtkomenteChar"/>
    <w:uiPriority w:val="99"/>
    <w:semiHidden/>
    <w:unhideWhenUsed/>
    <w:rsid w:val="00DE5532"/>
    <w:rPr>
      <w:b/>
      <w:bCs/>
    </w:rPr>
  </w:style>
  <w:style w:type="character" w:customStyle="1" w:styleId="PedmtkomenteChar">
    <w:name w:val="Předmět komentáře Char"/>
    <w:basedOn w:val="TextkomenteChar"/>
    <w:link w:val="Pedmtkomente"/>
    <w:uiPriority w:val="99"/>
    <w:semiHidden/>
    <w:rsid w:val="00DE5532"/>
    <w:rPr>
      <w:b/>
      <w:bCs/>
      <w:sz w:val="20"/>
      <w:szCs w:val="20"/>
    </w:rPr>
  </w:style>
  <w:style w:type="paragraph" w:styleId="Textbubliny">
    <w:name w:val="Balloon Text"/>
    <w:basedOn w:val="Normln"/>
    <w:link w:val="TextbublinyChar"/>
    <w:uiPriority w:val="99"/>
    <w:semiHidden/>
    <w:unhideWhenUsed/>
    <w:rsid w:val="00DE553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5532"/>
    <w:rPr>
      <w:rFonts w:ascii="Segoe UI" w:hAnsi="Segoe UI" w:cs="Segoe UI"/>
      <w:sz w:val="18"/>
      <w:szCs w:val="18"/>
    </w:rPr>
  </w:style>
  <w:style w:type="table" w:styleId="Mkatabulky">
    <w:name w:val="Table Grid"/>
    <w:basedOn w:val="Normlntabulka"/>
    <w:uiPriority w:val="39"/>
    <w:rsid w:val="00CA76CE"/>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26F72"/>
    <w:pPr>
      <w:tabs>
        <w:tab w:val="center" w:pos="4536"/>
        <w:tab w:val="right" w:pos="9072"/>
      </w:tabs>
      <w:spacing w:line="240" w:lineRule="auto"/>
    </w:pPr>
  </w:style>
  <w:style w:type="character" w:customStyle="1" w:styleId="ZhlavChar">
    <w:name w:val="Záhlaví Char"/>
    <w:basedOn w:val="Standardnpsmoodstavce"/>
    <w:link w:val="Zhlav"/>
    <w:uiPriority w:val="99"/>
    <w:rsid w:val="00B26F72"/>
  </w:style>
  <w:style w:type="paragraph" w:styleId="Zpat">
    <w:name w:val="footer"/>
    <w:basedOn w:val="Normln"/>
    <w:link w:val="ZpatChar"/>
    <w:uiPriority w:val="99"/>
    <w:unhideWhenUsed/>
    <w:rsid w:val="00B26F72"/>
    <w:pPr>
      <w:tabs>
        <w:tab w:val="center" w:pos="4536"/>
        <w:tab w:val="right" w:pos="9072"/>
      </w:tabs>
      <w:spacing w:line="240" w:lineRule="auto"/>
    </w:pPr>
  </w:style>
  <w:style w:type="character" w:customStyle="1" w:styleId="ZpatChar">
    <w:name w:val="Zápatí Char"/>
    <w:basedOn w:val="Standardnpsmoodstavce"/>
    <w:link w:val="Zpat"/>
    <w:uiPriority w:val="99"/>
    <w:rsid w:val="00B26F72"/>
  </w:style>
  <w:style w:type="paragraph" w:styleId="Revize">
    <w:name w:val="Revision"/>
    <w:hidden/>
    <w:uiPriority w:val="99"/>
    <w:semiHidden/>
    <w:rsid w:val="004B08CC"/>
    <w:pPr>
      <w:spacing w:line="240" w:lineRule="auto"/>
    </w:pPr>
  </w:style>
  <w:style w:type="character" w:styleId="Nevyeenzmnka">
    <w:name w:val="Unresolved Mention"/>
    <w:basedOn w:val="Standardnpsmoodstavce"/>
    <w:uiPriority w:val="99"/>
    <w:semiHidden/>
    <w:unhideWhenUsed/>
    <w:rsid w:val="00576829"/>
    <w:rPr>
      <w:color w:val="605E5C"/>
      <w:shd w:val="clear" w:color="auto" w:fill="E1DFDD"/>
    </w:rPr>
  </w:style>
  <w:style w:type="character" w:styleId="Sledovanodkaz">
    <w:name w:val="FollowedHyperlink"/>
    <w:basedOn w:val="Standardnpsmoodstavce"/>
    <w:uiPriority w:val="99"/>
    <w:semiHidden/>
    <w:unhideWhenUsed/>
    <w:rsid w:val="001949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ublic.tableau.com/app/profile/dark.side/viz/EvD_2024_05_Finanngramotnost/1Finanngramotnostdeklarovan" TargetMode="External"/><Relationship Id="rId13" Type="http://schemas.openxmlformats.org/officeDocument/2006/relationships/hyperlink" Target="https://public.tableau.com/app/profile/dark.side/viz/shared/KNP2DKPJ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ela.vesela@dfmg.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tableau.com/app/profile/dark.side/viz/shared/F3ZBZRJD7" TargetMode="External"/><Relationship Id="rId5" Type="http://schemas.openxmlformats.org/officeDocument/2006/relationships/webSettings" Target="webSettings.xml"/><Relationship Id="rId15" Type="http://schemas.openxmlformats.org/officeDocument/2006/relationships/hyperlink" Target="https://www.indexprosperity.cz/" TargetMode="External"/><Relationship Id="rId10" Type="http://schemas.openxmlformats.org/officeDocument/2006/relationships/hyperlink" Target="https://europa.eu/eurobarometer/surveys/detail/295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pXsnfYSahjJpM006nwnexVQFPw==">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C89C5D-27EF-154C-9A5D-3CBA79B3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1174</Words>
  <Characters>6928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Fialová</dc:creator>
  <cp:lastModifiedBy>Adéla Veselá</cp:lastModifiedBy>
  <cp:revision>5</cp:revision>
  <dcterms:created xsi:type="dcterms:W3CDTF">2024-05-13T15:10:00Z</dcterms:created>
  <dcterms:modified xsi:type="dcterms:W3CDTF">2024-05-14T07:36:00Z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0x0101007CF9EEC5CA57A844B63A6D1FBF5E2FBA</vt:lpwstr>
  </property>
  <property fmtid="{D5CDD505-2E9C-101B-9397-08002B2CF9AE}" pid="3" name="MSIP_Label_38939b85-7e40-4a1d-91e1-0e84c3b219d7_Enabled">
    <vt:lpwstr>true</vt:lpwstr>
  </property>
  <property fmtid="{D5CDD505-2E9C-101B-9397-08002B2CF9AE}" pid="4" name="MSIP_Label_38939b85-7e40-4a1d-91e1-0e84c3b219d7_SetDate">
    <vt:lpwstr>2023-09-18T10:42:46Z</vt:lpwstr>
  </property>
  <property fmtid="{D5CDD505-2E9C-101B-9397-08002B2CF9AE}" pid="5" name="MSIP_Label_38939b85-7e40-4a1d-91e1-0e84c3b219d7_Method">
    <vt:lpwstr>Standard</vt:lpwstr>
  </property>
  <property fmtid="{D5CDD505-2E9C-101B-9397-08002B2CF9AE}" pid="6" name="MSIP_Label_38939b85-7e40-4a1d-91e1-0e84c3b219d7_Name">
    <vt:lpwstr>38939b85-7e40-4a1d-91e1-0e84c3b219d7</vt:lpwstr>
  </property>
  <property fmtid="{D5CDD505-2E9C-101B-9397-08002B2CF9AE}" pid="7" name="MSIP_Label_38939b85-7e40-4a1d-91e1-0e84c3b219d7_SiteId">
    <vt:lpwstr>3ad0376a-54d3-49a6-9e20-52de0a92fc89</vt:lpwstr>
  </property>
  <property fmtid="{D5CDD505-2E9C-101B-9397-08002B2CF9AE}" pid="8" name="MSIP_Label_38939b85-7e40-4a1d-91e1-0e84c3b219d7_ActionId">
    <vt:lpwstr>3e827fe3-8dfe-40b6-a021-6eb28ab6355b</vt:lpwstr>
  </property>
  <property fmtid="{D5CDD505-2E9C-101B-9397-08002B2CF9AE}" pid="9" name="MSIP_Label_38939b85-7e40-4a1d-91e1-0e84c3b219d7_ContentBits">
    <vt:lpwstr>0</vt:lpwstr>
  </property>
</Properties>
</file>