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3A73" w14:textId="77777777" w:rsidR="00ED66F4" w:rsidRDefault="000013AD">
      <w:pPr>
        <w:spacing w:line="252" w:lineRule="auto"/>
        <w:jc w:val="both"/>
        <w:rPr>
          <w:rFonts w:ascii="Aptos" w:eastAsia="Aptos" w:hAnsi="Aptos" w:cs="Aptos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1AB3A94" wp14:editId="01AB3A95">
            <wp:simplePos x="0" y="0"/>
            <wp:positionH relativeFrom="column">
              <wp:posOffset>4446</wp:posOffset>
            </wp:positionH>
            <wp:positionV relativeFrom="paragraph">
              <wp:posOffset>1</wp:posOffset>
            </wp:positionV>
            <wp:extent cx="1616710" cy="377825"/>
            <wp:effectExtent l="0" t="0" r="0" b="0"/>
            <wp:wrapSquare wrapText="bothSides" distT="114300" distB="114300" distL="114300" distR="114300"/>
            <wp:docPr id="12456241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37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AB3A74" w14:textId="77777777" w:rsidR="00ED66F4" w:rsidRDefault="00ED66F4">
      <w:pPr>
        <w:jc w:val="both"/>
        <w:rPr>
          <w:rFonts w:ascii="Aptos" w:eastAsia="Aptos" w:hAnsi="Aptos" w:cs="Aptos"/>
          <w:sz w:val="20"/>
          <w:szCs w:val="20"/>
        </w:rPr>
      </w:pPr>
    </w:p>
    <w:p w14:paraId="01AB3A75" w14:textId="77777777" w:rsidR="00ED66F4" w:rsidRDefault="000013AD">
      <w:pPr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TISKOVÁ ZPRÁVA</w:t>
      </w:r>
    </w:p>
    <w:p w14:paraId="01AB3A76" w14:textId="77777777" w:rsidR="00ED66F4" w:rsidRDefault="000013AD">
      <w:pPr>
        <w:jc w:val="both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>V digitalizaci a infrastruktuře Česko pokulhává. Meziročně se v rámci unijní sedmadvacítky propadlo o 6 příček. Na vině je pomalá digitalizace veřejné správy i slabé pokrytí internetem</w:t>
      </w:r>
    </w:p>
    <w:p w14:paraId="01AB3A77" w14:textId="726172D6" w:rsidR="00ED66F4" w:rsidRDefault="000013AD">
      <w:pPr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</w:rPr>
        <w:t>Praha, 2</w:t>
      </w:r>
      <w:r>
        <w:rPr>
          <w:rFonts w:ascii="Aptos" w:eastAsia="Aptos" w:hAnsi="Aptos" w:cs="Aptos"/>
        </w:rPr>
        <w:t>. října 2024 –</w:t>
      </w:r>
      <w:r>
        <w:rPr>
          <w:rFonts w:ascii="Aptos" w:eastAsia="Aptos" w:hAnsi="Aptos" w:cs="Aptos"/>
          <w:b/>
        </w:rPr>
        <w:t xml:space="preserve"> Česko se v pilíři digitalizace a infrastruktury meziročně propadlo o 6 příček, ukazuje to analýza Indexu prosperity a finančního zdraví. </w:t>
      </w:r>
      <w:r>
        <w:rPr>
          <w:rFonts w:ascii="Aptos" w:eastAsia="Aptos" w:hAnsi="Aptos" w:cs="Aptos"/>
          <w:b/>
          <w:color w:val="000000"/>
        </w:rPr>
        <w:t xml:space="preserve">Přestože se stále může pochlubit nejhustší železniční sítí v EU a </w:t>
      </w:r>
      <w:proofErr w:type="gramStart"/>
      <w:r>
        <w:rPr>
          <w:rFonts w:ascii="Aptos" w:eastAsia="Aptos" w:hAnsi="Aptos" w:cs="Aptos"/>
          <w:b/>
          <w:color w:val="000000"/>
        </w:rPr>
        <w:t>patří</w:t>
      </w:r>
      <w:proofErr w:type="gramEnd"/>
      <w:r>
        <w:rPr>
          <w:rFonts w:ascii="Aptos" w:eastAsia="Aptos" w:hAnsi="Aptos" w:cs="Aptos"/>
          <w:b/>
          <w:color w:val="000000"/>
        </w:rPr>
        <w:t xml:space="preserve"> mezi státy s nejvyššími investicemi do dopravy, úroveň digitalizace veřejných služeb zaostává za unijním průměrem. Nedostatečné je také </w:t>
      </w:r>
      <w:r>
        <w:rPr>
          <w:rFonts w:ascii="Aptos" w:eastAsia="Aptos" w:hAnsi="Aptos" w:cs="Aptos"/>
          <w:b/>
        </w:rPr>
        <w:t xml:space="preserve">pokrytí vysokorychlostním internetem, které je dostupné jen v 53 % domácností, menší podíl pokrytí má pouze Řecko. </w:t>
      </w:r>
    </w:p>
    <w:p w14:paraId="01AB3A78" w14:textId="77777777" w:rsidR="00ED66F4" w:rsidRDefault="000013AD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Česko se v letošním pilíři Indexu prosperity a finančního zdraví zaměřeném na úroveň digitalizace a infrastruktury umístilo na 16. místě v unijní sedmadvacítce. Oproti předchozímu roku si tak pohoršilo o 6 příček. Nadprůměrně si Česko vede v investicích státu do dopravy, kde s 3,9 % HDP obsadilo druhou příčku. Pozici vylepšuje i využívání </w:t>
      </w:r>
      <w:proofErr w:type="spellStart"/>
      <w:r>
        <w:rPr>
          <w:rFonts w:ascii="Aptos" w:eastAsia="Aptos" w:hAnsi="Aptos" w:cs="Aptos"/>
        </w:rPr>
        <w:t>internetbankingu</w:t>
      </w:r>
      <w:proofErr w:type="spellEnd"/>
      <w:r>
        <w:rPr>
          <w:rFonts w:ascii="Aptos" w:eastAsia="Aptos" w:hAnsi="Aptos" w:cs="Aptos"/>
        </w:rPr>
        <w:t xml:space="preserve">, se kterým operuje 80 % Čechů. Na lepší místa se naopak nedostáváme i kvůli horší úrovni digitalizace státní správy. </w:t>
      </w:r>
      <w:r>
        <w:rPr>
          <w:rFonts w:ascii="Aptos" w:eastAsia="Aptos" w:hAnsi="Aptos" w:cs="Aptos"/>
          <w:highlight w:val="white"/>
        </w:rPr>
        <w:t>„</w:t>
      </w:r>
      <w:r>
        <w:rPr>
          <w:rFonts w:ascii="Aptos" w:eastAsia="Aptos" w:hAnsi="Aptos" w:cs="Aptos"/>
          <w:i/>
        </w:rPr>
        <w:t>Přesto si Česko i v této oblasti polepšuje – eGovernment u nás využívá podle nejnovějších dat takřka 77 % uživatelů internetu, což lehce převyšuje eurounijní průměr 75 %</w:t>
      </w:r>
      <w:r>
        <w:rPr>
          <w:rFonts w:ascii="Aptos" w:eastAsia="Aptos" w:hAnsi="Aptos" w:cs="Aptos"/>
        </w:rPr>
        <w:t>,” upozorňuje analytička Evropy v datech Hana Vincourová.</w:t>
      </w:r>
    </w:p>
    <w:p w14:paraId="01AB3A79" w14:textId="77777777" w:rsidR="00ED66F4" w:rsidRDefault="000013AD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V pilíři se i letos nejlépe umisťují země Beneluxu. Prvenství si </w:t>
      </w:r>
      <w:proofErr w:type="gramStart"/>
      <w:r>
        <w:rPr>
          <w:rFonts w:ascii="Aptos" w:eastAsia="Aptos" w:hAnsi="Aptos" w:cs="Aptos"/>
        </w:rPr>
        <w:t>drží</w:t>
      </w:r>
      <w:proofErr w:type="gramEnd"/>
      <w:r>
        <w:rPr>
          <w:rFonts w:ascii="Aptos" w:eastAsia="Aptos" w:hAnsi="Aptos" w:cs="Aptos"/>
        </w:rPr>
        <w:t xml:space="preserve"> Lucembursko s téměř univerzální dostupností internetu v domácnostech nebo vysokou hustotou platebních terminálů v přepočtu na obyvatele. Na konci žebříčku se umístily balkánské státy Rumunsko a Bulharsko. Na podprůměrném 23. místě se umístilo také Německo.</w:t>
      </w:r>
    </w:p>
    <w:p w14:paraId="01AB3A7A" w14:textId="77777777" w:rsidR="00ED66F4" w:rsidRDefault="000013AD">
      <w:pPr>
        <w:jc w:val="both"/>
        <w:rPr>
          <w:rFonts w:ascii="Aptos" w:eastAsia="Aptos" w:hAnsi="Aptos" w:cs="Aptos"/>
          <w:b/>
          <w:shd w:val="clear" w:color="auto" w:fill="D9EAD3"/>
        </w:rPr>
      </w:pPr>
      <w:hyperlink r:id="rId8">
        <w:r>
          <w:rPr>
            <w:rFonts w:ascii="Aptos" w:eastAsia="Aptos" w:hAnsi="Aptos" w:cs="Aptos"/>
            <w:b/>
            <w:color w:val="0563C1"/>
            <w:u w:val="single"/>
          </w:rPr>
          <w:t>Infografika: Digitalizace a infrastruktura</w:t>
        </w:r>
      </w:hyperlink>
      <w:r>
        <w:rPr>
          <w:rFonts w:ascii="Aptos" w:eastAsia="Aptos" w:hAnsi="Aptos" w:cs="Aptos"/>
          <w:b/>
        </w:rPr>
        <w:t xml:space="preserve"> </w:t>
      </w:r>
    </w:p>
    <w:p w14:paraId="01AB3A7B" w14:textId="77777777" w:rsidR="00ED66F4" w:rsidRDefault="000013AD">
      <w:pPr>
        <w:jc w:val="center"/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drawing>
          <wp:inline distT="0" distB="0" distL="0" distR="0" wp14:anchorId="01AB3A96" wp14:editId="01AB3A97">
            <wp:extent cx="5733415" cy="2776855"/>
            <wp:effectExtent l="0" t="0" r="0" b="0"/>
            <wp:docPr id="1245624178" name="image3.png" descr="Obsah obrázku text, snímek obrazovky, map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Obsah obrázku text, snímek obrazovky, mapa&#10;&#10;Popis byl vytvořen automatick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776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AB3A7C" w14:textId="77777777" w:rsidR="00ED66F4" w:rsidRDefault="000013AD">
      <w:pPr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Vysoké výdaje na dopravu i nejhustší železnice </w:t>
      </w:r>
    </w:p>
    <w:p w14:paraId="01AB3A7D" w14:textId="77777777" w:rsidR="00ED66F4" w:rsidRDefault="000013AD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Vládní výdaje na dopravu v Česku zaujímají 3,9 % HDP. Jedná se o druhý nejvyšší podíl po Maďarsku. Pro Česko zůstává nadále silným pilířem i železniční doprava. S hodnotou 120,7 km železnic na 1 000 km</w:t>
      </w:r>
      <w:r>
        <w:rPr>
          <w:rFonts w:ascii="Aptos" w:eastAsia="Aptos" w:hAnsi="Aptos" w:cs="Aptos"/>
          <w:vertAlign w:val="superscript"/>
        </w:rPr>
        <w:t>2</w:t>
      </w:r>
      <w:r>
        <w:rPr>
          <w:rFonts w:ascii="Aptos" w:eastAsia="Aptos" w:hAnsi="Aptos" w:cs="Aptos"/>
        </w:rPr>
        <w:t xml:space="preserve"> se v tuzemsku můžeme chlubit nejhustší železniční sítí z celé EU. Stát se bude do budoucna snažit v kontextu celé dopravní soustavy pozici železniční dopravy posilovat. „</w:t>
      </w:r>
      <w:r>
        <w:rPr>
          <w:rFonts w:ascii="Aptos" w:eastAsia="Aptos" w:hAnsi="Aptos" w:cs="Aptos"/>
          <w:i/>
        </w:rPr>
        <w:t>Jednak je takový postup součástí dopravní politiky státu a jednak se snažíme zhojit určité historické dluhy, které z hlediska kapacity a rozsahu sítě vhodné pro rychlou dálkovou osobní, ale i nákladní železniční dopravu na území ČR máme</w:t>
      </w:r>
      <w:r>
        <w:rPr>
          <w:rFonts w:ascii="Aptos" w:eastAsia="Aptos" w:hAnsi="Aptos" w:cs="Aptos"/>
        </w:rPr>
        <w:t>,” vysvětluje František Jemelka z Ministerstva dopravy.</w:t>
      </w:r>
    </w:p>
    <w:p w14:paraId="01AB3A7E" w14:textId="77777777" w:rsidR="00ED66F4" w:rsidRDefault="000013AD">
      <w:pPr>
        <w:spacing w:after="0" w:line="276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lastRenderedPageBreak/>
        <w:t xml:space="preserve">Příležitostí nejen pro zlepšení dopravy, ale i ekonomiky jako celku mohou být i vysokorychlostní železnice. To ukazují i pilotní data projektu Mapa příležitostí, za kterým stojí Druhá ekonomická transformace a další neziskové organizace. </w:t>
      </w:r>
      <w:r>
        <w:rPr>
          <w:rFonts w:ascii="Arial" w:eastAsia="Arial" w:hAnsi="Arial" w:cs="Arial"/>
          <w:i/>
          <w:color w:val="222222"/>
          <w:highlight w:val="white"/>
        </w:rPr>
        <w:t>„Česko má pro různé železniční komponenty jako jsou vozy, brzdy, nápravy či podvozky až 12% podíl na světovém vývozu. Je to ukázkový příklad toho, jak může česká strojírenská tradice profitovat z globální zelené transformace,”</w:t>
      </w:r>
      <w:r>
        <w:rPr>
          <w:rFonts w:ascii="Arial" w:eastAsia="Arial" w:hAnsi="Arial" w:cs="Arial"/>
          <w:color w:val="222222"/>
          <w:highlight w:val="white"/>
        </w:rPr>
        <w:t xml:space="preserve"> uvedla Lucie Beránková, hlavní analytička Druhé ekonomické transformace.</w:t>
      </w:r>
    </w:p>
    <w:p w14:paraId="01AB3A7F" w14:textId="77777777" w:rsidR="00ED66F4" w:rsidRDefault="00ED66F4">
      <w:pPr>
        <w:jc w:val="both"/>
        <w:rPr>
          <w:rFonts w:ascii="Aptos" w:eastAsia="Aptos" w:hAnsi="Aptos" w:cs="Aptos"/>
        </w:rPr>
      </w:pPr>
    </w:p>
    <w:p w14:paraId="01AB3A80" w14:textId="77777777" w:rsidR="00ED66F4" w:rsidRDefault="000013AD">
      <w:pPr>
        <w:jc w:val="both"/>
        <w:rPr>
          <w:rFonts w:ascii="Aptos" w:eastAsia="Aptos" w:hAnsi="Aptos" w:cs="Aptos"/>
          <w:b/>
        </w:rPr>
      </w:pPr>
      <w:hyperlink r:id="rId10">
        <w:r>
          <w:rPr>
            <w:rFonts w:ascii="Aptos" w:eastAsia="Aptos" w:hAnsi="Aptos" w:cs="Aptos"/>
            <w:b/>
            <w:color w:val="1155CC"/>
            <w:u w:val="single"/>
          </w:rPr>
          <w:t>Infografika Digitalizace a infrastruktura: rozpad indikátorů</w:t>
        </w:r>
      </w:hyperlink>
    </w:p>
    <w:p w14:paraId="01AB3A81" w14:textId="77777777" w:rsidR="00ED66F4" w:rsidRDefault="000013AD">
      <w:pPr>
        <w:jc w:val="center"/>
        <w:rPr>
          <w:rFonts w:ascii="Aptos" w:eastAsia="Aptos" w:hAnsi="Aptos" w:cs="Aptos"/>
          <w:highlight w:val="white"/>
        </w:rPr>
      </w:pPr>
      <w:r>
        <w:rPr>
          <w:rFonts w:ascii="Aptos" w:eastAsia="Aptos" w:hAnsi="Aptos" w:cs="Aptos"/>
          <w:noProof/>
        </w:rPr>
        <w:drawing>
          <wp:inline distT="0" distB="0" distL="0" distR="0" wp14:anchorId="01AB3A98" wp14:editId="01AB3A99">
            <wp:extent cx="6138250" cy="2972928"/>
            <wp:effectExtent l="0" t="0" r="0" b="0"/>
            <wp:docPr id="1245624177" name="image4.png" descr="Obsah obrázku Barevnost, Vykreslený graf, řada/pruh, snímek obrazovky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sah obrázku Barevnost, Vykreslený graf, řada/pruh, snímek obrazovky&#10;&#10;Popis byl vytvořen automaticky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250" cy="2972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AB3A82" w14:textId="77777777" w:rsidR="00ED66F4" w:rsidRDefault="000013AD">
      <w:pPr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Nízká hustota dobíjecích stanic, a ještě nižší využívanost elektromobilů</w:t>
      </w:r>
    </w:p>
    <w:p w14:paraId="01AB3A83" w14:textId="77777777" w:rsidR="00ED66F4" w:rsidRDefault="000013AD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V hustotě silniční sítě se Česko v rámci Unie umístilo na 7. místě s hodnotou 1,7 km silnic na 1 km</w:t>
      </w:r>
      <w:r>
        <w:rPr>
          <w:rFonts w:ascii="Aptos" w:eastAsia="Aptos" w:hAnsi="Aptos" w:cs="Aptos"/>
          <w:vertAlign w:val="superscript"/>
        </w:rPr>
        <w:t>2</w:t>
      </w:r>
      <w:r>
        <w:rPr>
          <w:rFonts w:ascii="Aptos" w:eastAsia="Aptos" w:hAnsi="Aptos" w:cs="Aptos"/>
        </w:rPr>
        <w:t>. Hůře si však vedeme v samotné kvalitě silnic. Tu Češi ohodnotili 3,95 body ze sedmi, a v žebříčku nám tak připadlo 6. místo od konce.</w:t>
      </w:r>
    </w:p>
    <w:p w14:paraId="01AB3A84" w14:textId="77777777" w:rsidR="00ED66F4" w:rsidRDefault="000013AD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Podprůměrné výsledky Česko vykazuje také v hustotě dobíjecích stanic pro elektrické vozy. Na 100 km silnic u nás připadá 3,7 dobíjecích míst. Například v Nizozemí přitom mají majitelé elektromobilů možnost si auto dobít u 109 stanic na 100 km. Stav v Česku jde však ruku v ruce s nízkým podílem elektromobilů. </w:t>
      </w:r>
      <w:r>
        <w:rPr>
          <w:rFonts w:ascii="Aptos" w:eastAsia="Aptos" w:hAnsi="Aptos" w:cs="Aptos"/>
          <w:color w:val="222222"/>
        </w:rPr>
        <w:t xml:space="preserve">Martin Klíma ze společnosti E.ON Drive </w:t>
      </w:r>
      <w:proofErr w:type="spellStart"/>
      <w:r>
        <w:rPr>
          <w:rFonts w:ascii="Aptos" w:eastAsia="Aptos" w:hAnsi="Aptos" w:cs="Aptos"/>
          <w:color w:val="222222"/>
        </w:rPr>
        <w:t>Infrastructure</w:t>
      </w:r>
      <w:proofErr w:type="spellEnd"/>
      <w:r>
        <w:rPr>
          <w:rFonts w:ascii="Aptos" w:eastAsia="Aptos" w:hAnsi="Aptos" w:cs="Aptos"/>
          <w:color w:val="222222"/>
        </w:rPr>
        <w:t xml:space="preserve"> </w:t>
      </w:r>
      <w:r>
        <w:rPr>
          <w:rFonts w:ascii="Aptos" w:eastAsia="Aptos" w:hAnsi="Aptos" w:cs="Aptos"/>
        </w:rPr>
        <w:t>však podotýká, že situace kolem dobíjecích stanic není černobílá: „</w:t>
      </w:r>
      <w:r>
        <w:rPr>
          <w:rFonts w:ascii="Aptos" w:eastAsia="Aptos" w:hAnsi="Aptos" w:cs="Aptos"/>
          <w:i/>
        </w:rPr>
        <w:t>Nizozemí má jeden z nejvyšších podílů elektromobilů v EU a jeho síť je tvořena převážně zastaralou AC technologií. Česká síť je z hlediska počtu elektromobilů poměrně robustní a je založená na rychlém dobíjení, které nabízí výrazně vyšší komfort bez dlouhého čekání.”</w:t>
      </w:r>
      <w:r>
        <w:rPr>
          <w:rFonts w:ascii="Aptos" w:eastAsia="Aptos" w:hAnsi="Aptos" w:cs="Aptos"/>
        </w:rPr>
        <w:t xml:space="preserve"> </w:t>
      </w:r>
    </w:p>
    <w:p w14:paraId="01AB3A85" w14:textId="77777777" w:rsidR="00ED66F4" w:rsidRDefault="000013AD">
      <w:pPr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Vysokorychlostní internet zůstává českou slabinou. Hůře je na tom jen Řecko</w:t>
      </w:r>
    </w:p>
    <w:p w14:paraId="01AB3A86" w14:textId="77777777" w:rsidR="00ED66F4" w:rsidRDefault="000013AD">
      <w:pPr>
        <w:jc w:val="both"/>
        <w:rPr>
          <w:rFonts w:ascii="Aptos" w:eastAsia="Aptos" w:hAnsi="Aptos" w:cs="Aptos"/>
          <w:i/>
        </w:rPr>
      </w:pPr>
      <w:r>
        <w:rPr>
          <w:rFonts w:ascii="Aptos" w:eastAsia="Aptos" w:hAnsi="Aptos" w:cs="Aptos"/>
        </w:rPr>
        <w:t xml:space="preserve">Česko se v indikátorech reflektujících stav pokrytí internetem nedostává na přední příčky EU. Internet je u nás dostupný v 92,8 % domácností, meziročně tuzemsku zůstala 16. příčka. Česku se nicméně </w:t>
      </w:r>
      <w:proofErr w:type="gramStart"/>
      <w:r>
        <w:rPr>
          <w:rFonts w:ascii="Aptos" w:eastAsia="Aptos" w:hAnsi="Aptos" w:cs="Aptos"/>
        </w:rPr>
        <w:t>nedaří</w:t>
      </w:r>
      <w:proofErr w:type="gramEnd"/>
      <w:r>
        <w:rPr>
          <w:rFonts w:ascii="Aptos" w:eastAsia="Aptos" w:hAnsi="Aptos" w:cs="Aptos"/>
        </w:rPr>
        <w:t xml:space="preserve"> v pokrytí vysokorychlostním internetem. Takový typ připojení má k dispozici pouhých 53,2 % českých domácností, čímž se Česko propadlo na předposlední příčku nad Řecko. Překvapivě na 4. příčce se umístilo Rumunsko, které si v rámci pilíře Digitalizace a infrastruktura vede celkově nejhůře, a je zde rychlým internetem pokryto 95,6 % domácností.</w:t>
      </w:r>
    </w:p>
    <w:p w14:paraId="01AB3A87" w14:textId="77777777" w:rsidR="00ED66F4" w:rsidRDefault="000013AD">
      <w:pPr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Internetové bankovnictví si Češi oblíbili</w:t>
      </w:r>
    </w:p>
    <w:p w14:paraId="01AB3A88" w14:textId="77777777" w:rsidR="00ED66F4" w:rsidRDefault="000013AD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Až 80 % Čechů využívá internetové bankovnictví. S takovým podílem jde v podoblasti digitalizace o indikátor, ve kterém se Česku vede nejlépe, v rámci EU je na osmé příčce. S čím dál vyšší oblibou internetového bankovnictví souhlasí také Tereza </w:t>
      </w:r>
      <w:proofErr w:type="spellStart"/>
      <w:r>
        <w:rPr>
          <w:rFonts w:ascii="Aptos" w:eastAsia="Aptos" w:hAnsi="Aptos" w:cs="Aptos"/>
        </w:rPr>
        <w:t>Hrtúsová</w:t>
      </w:r>
      <w:proofErr w:type="spellEnd"/>
      <w:r>
        <w:rPr>
          <w:rFonts w:ascii="Aptos" w:eastAsia="Aptos" w:hAnsi="Aptos" w:cs="Aptos"/>
        </w:rPr>
        <w:t>, analytička České spořitelny</w:t>
      </w:r>
      <w:r>
        <w:rPr>
          <w:rFonts w:ascii="Aptos" w:eastAsia="Aptos" w:hAnsi="Aptos" w:cs="Aptos"/>
          <w:i/>
        </w:rPr>
        <w:t xml:space="preserve">. „V současnosti již více než tři čtvrtiny </w:t>
      </w:r>
      <w:r>
        <w:rPr>
          <w:rFonts w:ascii="Aptos" w:eastAsia="Aptos" w:hAnsi="Aptos" w:cs="Aptos"/>
          <w:i/>
        </w:rPr>
        <w:lastRenderedPageBreak/>
        <w:t>našich klientů pravidelně využívají mobilní aplikaci. Do banky v mobilu se v průměru přihlásí každý den v měsíci, přičemž si nejčastěji kontrolují zůstatek na účtu, zadávají jednorázové platby nebo nastavují limit na kartě. Klienti si použití mobilního telefonu oblíbili rovněž při placení u obchodníků. Platební kartu uloženou ve své mobilní peněžence má již 52 % klientů s mobilní aplikací George,”</w:t>
      </w:r>
      <w:r>
        <w:rPr>
          <w:rFonts w:ascii="Aptos" w:eastAsia="Aptos" w:hAnsi="Aptos" w:cs="Aptos"/>
        </w:rPr>
        <w:t xml:space="preserve"> říká </w:t>
      </w:r>
      <w:proofErr w:type="spellStart"/>
      <w:r>
        <w:rPr>
          <w:rFonts w:ascii="Aptos" w:eastAsia="Aptos" w:hAnsi="Aptos" w:cs="Aptos"/>
        </w:rPr>
        <w:t>Hrtúsová</w:t>
      </w:r>
      <w:proofErr w:type="spellEnd"/>
      <w:r>
        <w:rPr>
          <w:rFonts w:ascii="Aptos" w:eastAsia="Aptos" w:hAnsi="Aptos" w:cs="Aptos"/>
        </w:rPr>
        <w:t xml:space="preserve">. </w:t>
      </w:r>
    </w:p>
    <w:p w14:paraId="01AB3A89" w14:textId="77777777" w:rsidR="00ED66F4" w:rsidRDefault="000013AD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Podle dat Evropské centrální banky mají Češi méně možností platit bezhotovostně než většina jiných národností v Unii. Na 1 000 obyvatel u nás připadá 23,5 platebních terminálů. Na Maltě přitom na každé 3 obyvatele připadá přibližně jeden terminál.</w:t>
      </w:r>
    </w:p>
    <w:p w14:paraId="01AB3A8A" w14:textId="77777777" w:rsidR="00ED66F4" w:rsidRDefault="000013AD">
      <w:pPr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Podíl Čechů využívající eGovernment se zvýšil na 77 %</w:t>
      </w:r>
    </w:p>
    <w:p w14:paraId="01AB3A8B" w14:textId="77777777" w:rsidR="00ED66F4" w:rsidRDefault="000013AD">
      <w:pPr>
        <w:jc w:val="both"/>
        <w:rPr>
          <w:rFonts w:ascii="Aptos" w:eastAsia="Aptos" w:hAnsi="Aptos" w:cs="Aptos"/>
          <w:color w:val="222222"/>
        </w:rPr>
      </w:pPr>
      <w:r>
        <w:rPr>
          <w:rFonts w:ascii="Aptos" w:eastAsia="Aptos" w:hAnsi="Aptos" w:cs="Aptos"/>
        </w:rPr>
        <w:t xml:space="preserve">Přibývá Čechů, kteří záležitosti s veřejnou a státní správou </w:t>
      </w:r>
      <w:proofErr w:type="gramStart"/>
      <w:r>
        <w:rPr>
          <w:rFonts w:ascii="Aptos" w:eastAsia="Aptos" w:hAnsi="Aptos" w:cs="Aptos"/>
        </w:rPr>
        <w:t>řeší</w:t>
      </w:r>
      <w:proofErr w:type="gramEnd"/>
      <w:r>
        <w:rPr>
          <w:rFonts w:ascii="Aptos" w:eastAsia="Aptos" w:hAnsi="Aptos" w:cs="Aptos"/>
        </w:rPr>
        <w:t xml:space="preserve"> digitálně s pomocí služeb eGovernmentu. Jak uvádí srovnání </w:t>
      </w:r>
      <w:hyperlink r:id="rId12">
        <w:r>
          <w:rPr>
            <w:rFonts w:ascii="Aptos" w:eastAsia="Aptos" w:hAnsi="Aptos" w:cs="Aptos"/>
            <w:color w:val="1155CC"/>
            <w:u w:val="single"/>
          </w:rPr>
          <w:t>DESI 2024</w:t>
        </w:r>
      </w:hyperlink>
      <w:r>
        <w:rPr>
          <w:rFonts w:ascii="Aptos" w:eastAsia="Aptos" w:hAnsi="Aptos" w:cs="Aptos"/>
        </w:rPr>
        <w:t xml:space="preserve"> dalo šanci řešení byrokracie po internetu téměř 77 % Čechů využívajících internet. Podle Jana </w:t>
      </w:r>
      <w:proofErr w:type="spellStart"/>
      <w:r>
        <w:rPr>
          <w:rFonts w:ascii="Aptos" w:eastAsia="Aptos" w:hAnsi="Aptos" w:cs="Aptos"/>
        </w:rPr>
        <w:t>Hainze</w:t>
      </w:r>
      <w:proofErr w:type="spellEnd"/>
      <w:r>
        <w:rPr>
          <w:rFonts w:ascii="Aptos" w:eastAsia="Aptos" w:hAnsi="Aptos" w:cs="Aptos"/>
        </w:rPr>
        <w:t xml:space="preserve"> z Digitální a informační agentury (DIA) stojí za vyšší využívaností postupný nárůst služeb, které online vyřídit lze: „</w:t>
      </w:r>
      <w:r>
        <w:rPr>
          <w:rFonts w:ascii="Aptos" w:eastAsia="Aptos" w:hAnsi="Aptos" w:cs="Aptos"/>
          <w:i/>
          <w:color w:val="222222"/>
        </w:rPr>
        <w:t xml:space="preserve">Jedná se například o rozvoj uživatelsky přívětivého Portálu občana, jehož mobilní verzi jsme letos představili. Díky </w:t>
      </w:r>
      <w:proofErr w:type="spellStart"/>
      <w:r>
        <w:rPr>
          <w:rFonts w:ascii="Aptos" w:eastAsia="Aptos" w:hAnsi="Aptos" w:cs="Aptos"/>
          <w:i/>
          <w:color w:val="222222"/>
        </w:rPr>
        <w:t>BankID</w:t>
      </w:r>
      <w:proofErr w:type="spellEnd"/>
      <w:r>
        <w:rPr>
          <w:rFonts w:ascii="Aptos" w:eastAsia="Aptos" w:hAnsi="Aptos" w:cs="Aptos"/>
          <w:i/>
          <w:color w:val="222222"/>
        </w:rPr>
        <w:t xml:space="preserve"> se zase zjednodušil a rozšířil přístup k elektronické identifikaci, kterou se občané mohou k online službám přihlašovat</w:t>
      </w:r>
      <w:r>
        <w:rPr>
          <w:rFonts w:ascii="Aptos" w:eastAsia="Aptos" w:hAnsi="Aptos" w:cs="Aptos"/>
          <w:color w:val="222222"/>
        </w:rPr>
        <w:t xml:space="preserve">,“ vyjmenovává </w:t>
      </w:r>
      <w:proofErr w:type="spellStart"/>
      <w:r>
        <w:rPr>
          <w:rFonts w:ascii="Aptos" w:eastAsia="Aptos" w:hAnsi="Aptos" w:cs="Aptos"/>
          <w:color w:val="222222"/>
        </w:rPr>
        <w:t>Hainz</w:t>
      </w:r>
      <w:proofErr w:type="spellEnd"/>
      <w:r>
        <w:rPr>
          <w:rFonts w:ascii="Aptos" w:eastAsia="Aptos" w:hAnsi="Aptos" w:cs="Aptos"/>
          <w:color w:val="222222"/>
        </w:rPr>
        <w:t xml:space="preserve">. </w:t>
      </w:r>
    </w:p>
    <w:p w14:paraId="01AB3A8C" w14:textId="77777777" w:rsidR="00ED66F4" w:rsidRDefault="000013AD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  <w:color w:val="222222"/>
        </w:rPr>
        <w:t xml:space="preserve">V celkové úrovni digitalizace státní správy se Česko umisťuje jako druhé nejhorší. Zaostává v množství dat, která jsou předvyplněná v online formulářích veřejných služeb; nízké skóre má také v </w:t>
      </w:r>
      <w:r>
        <w:rPr>
          <w:rFonts w:ascii="Aptos" w:eastAsia="Aptos" w:hAnsi="Aptos" w:cs="Aptos"/>
        </w:rPr>
        <w:t>přístupu k elektronickým zdravotním záznamům. V cestě za efektivnější digitalizací správy ale stojí několik hlavních problémů: „</w:t>
      </w:r>
      <w:r>
        <w:rPr>
          <w:rFonts w:ascii="Aptos" w:eastAsia="Aptos" w:hAnsi="Aptos" w:cs="Aptos"/>
          <w:i/>
          <w:color w:val="222222"/>
        </w:rPr>
        <w:t xml:space="preserve">Největší překážky vidíme ve svazujícím legislativním prostředí, složitosti veřejných zakázek, nebezpečí tzv. vendor </w:t>
      </w:r>
      <w:proofErr w:type="spellStart"/>
      <w:r>
        <w:rPr>
          <w:rFonts w:ascii="Aptos" w:eastAsia="Aptos" w:hAnsi="Aptos" w:cs="Aptos"/>
          <w:i/>
          <w:color w:val="222222"/>
        </w:rPr>
        <w:t>lock</w:t>
      </w:r>
      <w:proofErr w:type="spellEnd"/>
      <w:r>
        <w:rPr>
          <w:rFonts w:ascii="Aptos" w:eastAsia="Aptos" w:hAnsi="Aptos" w:cs="Aptos"/>
          <w:i/>
          <w:color w:val="222222"/>
        </w:rPr>
        <w:t>-inu, a v palčivém nedostatku IT odborníků ve státní správě</w:t>
      </w:r>
      <w:r>
        <w:rPr>
          <w:rFonts w:ascii="Aptos" w:eastAsia="Aptos" w:hAnsi="Aptos" w:cs="Aptos"/>
          <w:color w:val="222222"/>
        </w:rPr>
        <w:t xml:space="preserve">,“ říká Jan </w:t>
      </w:r>
      <w:proofErr w:type="spellStart"/>
      <w:r>
        <w:rPr>
          <w:rFonts w:ascii="Aptos" w:eastAsia="Aptos" w:hAnsi="Aptos" w:cs="Aptos"/>
          <w:color w:val="222222"/>
        </w:rPr>
        <w:t>Hainz</w:t>
      </w:r>
      <w:proofErr w:type="spellEnd"/>
      <w:r>
        <w:rPr>
          <w:rFonts w:ascii="Aptos" w:eastAsia="Aptos" w:hAnsi="Aptos" w:cs="Aptos"/>
          <w:color w:val="222222"/>
        </w:rPr>
        <w:t xml:space="preserve"> z DIA. </w:t>
      </w:r>
      <w:r>
        <w:rPr>
          <w:rFonts w:ascii="Aptos" w:eastAsia="Aptos" w:hAnsi="Aptos" w:cs="Aptos"/>
        </w:rPr>
        <w:t xml:space="preserve">Pomoci zlepšit úroveň digitalizace státní správy má do budoucna Zákon o právu na digitální služby; </w:t>
      </w:r>
      <w:r>
        <w:rPr>
          <w:rFonts w:ascii="Aptos" w:eastAsia="Aptos" w:hAnsi="Aptos" w:cs="Aptos"/>
          <w:color w:val="222222"/>
        </w:rPr>
        <w:t>soubor opatření pro veřejné orgány, který se bude vztahovat na desítky informa</w:t>
      </w:r>
      <w:r>
        <w:rPr>
          <w:rFonts w:ascii="Aptos" w:eastAsia="Aptos" w:hAnsi="Aptos" w:cs="Aptos"/>
          <w:color w:val="222222"/>
          <w:highlight w:val="white"/>
        </w:rPr>
        <w:t>ční</w:t>
      </w:r>
      <w:r>
        <w:rPr>
          <w:rFonts w:ascii="Aptos" w:eastAsia="Aptos" w:hAnsi="Aptos" w:cs="Aptos"/>
          <w:color w:val="222222"/>
          <w:highlight w:val="white"/>
        </w:rPr>
        <w:t xml:space="preserve">ch systémů jednotlivých resortů. Platit má </w:t>
      </w:r>
      <w:r>
        <w:rPr>
          <w:rFonts w:ascii="Aptos" w:eastAsia="Aptos" w:hAnsi="Aptos" w:cs="Aptos"/>
        </w:rPr>
        <w:t>od 1. února 2025.</w:t>
      </w:r>
    </w:p>
    <w:p w14:paraId="01AB3A8D" w14:textId="77777777" w:rsidR="00ED66F4" w:rsidRDefault="00ED66F4">
      <w:pPr>
        <w:jc w:val="both"/>
        <w:rPr>
          <w:rFonts w:ascii="Aptos" w:eastAsia="Aptos" w:hAnsi="Aptos" w:cs="Aptos"/>
        </w:rPr>
      </w:pPr>
    </w:p>
    <w:p w14:paraId="01AB3A8E" w14:textId="77777777" w:rsidR="00ED66F4" w:rsidRDefault="000013AD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Více o Indexu prosperity a finančního zdraví na </w:t>
      </w:r>
      <w:hyperlink r:id="rId13">
        <w:r>
          <w:rPr>
            <w:rFonts w:ascii="Aptos" w:eastAsia="Aptos" w:hAnsi="Aptos" w:cs="Aptos"/>
            <w:color w:val="1155CC"/>
            <w:u w:val="single"/>
          </w:rPr>
          <w:t>Indexprosperity.cz</w:t>
        </w:r>
      </w:hyperlink>
      <w:r>
        <w:rPr>
          <w:rFonts w:ascii="Aptos" w:eastAsia="Aptos" w:hAnsi="Aptos" w:cs="Aptos"/>
        </w:rPr>
        <w:t>.</w:t>
      </w:r>
    </w:p>
    <w:p w14:paraId="01AB3A8F" w14:textId="77777777" w:rsidR="00ED66F4" w:rsidRDefault="00ED66F4">
      <w:pPr>
        <w:spacing w:after="0"/>
        <w:jc w:val="both"/>
        <w:rPr>
          <w:rFonts w:ascii="Aptos" w:eastAsia="Aptos" w:hAnsi="Aptos" w:cs="Aptos"/>
          <w:b/>
        </w:rPr>
      </w:pPr>
    </w:p>
    <w:p w14:paraId="01AB3A90" w14:textId="77777777" w:rsidR="00ED66F4" w:rsidRDefault="000013AD">
      <w:pPr>
        <w:spacing w:after="0"/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Kontakt pro média:</w:t>
      </w:r>
    </w:p>
    <w:p w14:paraId="01AB3A91" w14:textId="77777777" w:rsidR="00ED66F4" w:rsidRDefault="000013AD">
      <w:pPr>
        <w:spacing w:after="0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Adéla Veselá</w:t>
      </w:r>
    </w:p>
    <w:p w14:paraId="01AB3A92" w14:textId="77777777" w:rsidR="00ED66F4" w:rsidRDefault="000013AD">
      <w:pPr>
        <w:spacing w:after="0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  <w:color w:val="0563C1"/>
          <w:u w:val="single"/>
        </w:rPr>
        <w:t>adela.vesela@dfmg.cz</w:t>
      </w:r>
    </w:p>
    <w:p w14:paraId="01AB3A93" w14:textId="77777777" w:rsidR="00ED66F4" w:rsidRDefault="000013AD">
      <w:pPr>
        <w:spacing w:after="0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Tel.: +420 722 193 819</w:t>
      </w:r>
    </w:p>
    <w:sectPr w:rsidR="00ED66F4">
      <w:footerReference w:type="default" r:id="rId14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B3A9F" w14:textId="77777777" w:rsidR="000013AD" w:rsidRDefault="000013AD">
      <w:pPr>
        <w:spacing w:after="0" w:line="240" w:lineRule="auto"/>
      </w:pPr>
      <w:r>
        <w:separator/>
      </w:r>
    </w:p>
  </w:endnote>
  <w:endnote w:type="continuationSeparator" w:id="0">
    <w:p w14:paraId="01AB3AA1" w14:textId="77777777" w:rsidR="000013AD" w:rsidRDefault="0000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3A9A" w14:textId="77777777" w:rsidR="00ED66F4" w:rsidRDefault="000013AD">
    <w:r>
      <w:rPr>
        <w:noProof/>
      </w:rPr>
      <w:drawing>
        <wp:anchor distT="0" distB="0" distL="0" distR="0" simplePos="0" relativeHeight="251658240" behindDoc="0" locked="0" layoutInCell="1" hidden="0" allowOverlap="1" wp14:anchorId="01AB3A9B" wp14:editId="01AB3A9C">
          <wp:simplePos x="0" y="0"/>
          <wp:positionH relativeFrom="column">
            <wp:posOffset>-438149</wp:posOffset>
          </wp:positionH>
          <wp:positionV relativeFrom="paragraph">
            <wp:posOffset>514984</wp:posOffset>
          </wp:positionV>
          <wp:extent cx="7509510" cy="132080"/>
          <wp:effectExtent l="0" t="0" r="0" b="0"/>
          <wp:wrapTopAndBottom distT="0" distB="0"/>
          <wp:docPr id="12456241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094" r="19202"/>
                  <a:stretch>
                    <a:fillRect/>
                  </a:stretch>
                </pic:blipFill>
                <pic:spPr>
                  <a:xfrm>
                    <a:off x="0" y="0"/>
                    <a:ext cx="7509510" cy="132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3A9B" w14:textId="77777777" w:rsidR="000013AD" w:rsidRDefault="000013AD">
      <w:pPr>
        <w:spacing w:after="0" w:line="240" w:lineRule="auto"/>
      </w:pPr>
      <w:r>
        <w:separator/>
      </w:r>
    </w:p>
  </w:footnote>
  <w:footnote w:type="continuationSeparator" w:id="0">
    <w:p w14:paraId="01AB3A9D" w14:textId="77777777" w:rsidR="000013AD" w:rsidRDefault="00001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F4"/>
    <w:rsid w:val="000013AD"/>
    <w:rsid w:val="006A59D6"/>
    <w:rsid w:val="00E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B3A73"/>
  <w15:docId w15:val="{24A8E626-7E6E-1643-8C23-0BB9BEFF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55E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5E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F0141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44388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388"/>
    <w:rPr>
      <w:rFonts w:ascii="Arial" w:eastAsia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44388"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4438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D33"/>
  </w:style>
  <w:style w:type="paragraph" w:styleId="Zpat">
    <w:name w:val="footer"/>
    <w:basedOn w:val="Normln"/>
    <w:link w:val="Zpat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D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D4E"/>
    <w:pPr>
      <w:spacing w:after="160"/>
    </w:pPr>
    <w:rPr>
      <w:rFonts w:ascii="Calibri" w:eastAsia="Calibri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D4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dark.side/viz/shared/95ZQ4SR2Y" TargetMode="External"/><Relationship Id="rId13" Type="http://schemas.openxmlformats.org/officeDocument/2006/relationships/hyperlink" Target="http://www.indexprosperity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gital-decade-desi.digital-strategy.ec.europa.eu/datasets/desi/charts/desi-indicators?period=desi_2024&amp;indicator=desi_egov_users_anys&amp;breakdown=ind_total&amp;unit=pc_ind_ilt12&amp;country=AT,BE,BG,HR,CY,CZ,DK,EE,EU,FI,FR,DE,EL,HU,IE,IT,LV,LT,LU,MT,NL,PL,PT,RO,SK,SI,ES,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blic.tableau.com/app/profile/dark.side/viz/shared/37G5FCWS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P+lTK7dOKaJuQdvDs42IAHndTg==">CgMxLjA4AHIhMWhZZ2pVODFtS0VnZlloV09DdnJBNjQzc0VySkpxWVpx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Bakešová</dc:creator>
  <cp:lastModifiedBy>Adéla Veselá</cp:lastModifiedBy>
  <cp:revision>2</cp:revision>
  <dcterms:created xsi:type="dcterms:W3CDTF">2024-09-29T15:16:00Z</dcterms:created>
  <dcterms:modified xsi:type="dcterms:W3CDTF">2024-09-30T11:53:00Z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2022-06-13T07:50:24Z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87e722f6-8a85-4d74-9307-d8e67f666506</vt:lpwstr>
  </property>
  <property fmtid="{D5CDD505-2E9C-101B-9397-08002B2CF9AE}" pid="8" name="MSIP_Label_2b3a104e-2916-42dc-a2f6-6210338509ed_ContentBits">
    <vt:lpwstr>1</vt:lpwstr>
  </property>
</Properties>
</file>